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5" w:type="dxa"/>
        <w:tblLayout w:type="fixed"/>
        <w:tblCellMar>
          <w:left w:w="10" w:type="dxa"/>
          <w:right w:w="10" w:type="dxa"/>
        </w:tblCellMar>
        <w:tblLook w:val="0000" w:firstRow="0" w:lastRow="0" w:firstColumn="0" w:lastColumn="0" w:noHBand="0" w:noVBand="0"/>
      </w:tblPr>
      <w:tblGrid>
        <w:gridCol w:w="4677"/>
        <w:gridCol w:w="4678"/>
      </w:tblGrid>
      <w:tr w:rsidR="00F8545A" w:rsidTr="00535C8E">
        <w:tblPrEx>
          <w:tblCellMar>
            <w:top w:w="0" w:type="dxa"/>
            <w:bottom w:w="0" w:type="dxa"/>
          </w:tblCellMar>
        </w:tblPrEx>
        <w:tc>
          <w:tcPr>
            <w:tcW w:w="4677" w:type="dxa"/>
            <w:tcBorders>
              <w:top w:val="single" w:sz="4" w:space="0" w:color="000000"/>
              <w:left w:val="single" w:sz="4" w:space="0" w:color="000000"/>
            </w:tcBorders>
            <w:tcMar>
              <w:top w:w="0" w:type="dxa"/>
              <w:left w:w="108" w:type="dxa"/>
              <w:bottom w:w="0" w:type="dxa"/>
              <w:right w:w="108" w:type="dxa"/>
            </w:tcMar>
          </w:tcPr>
          <w:p w:rsidR="00F8545A" w:rsidRDefault="00F31069">
            <w:pPr>
              <w:spacing w:before="57" w:after="0" w:line="240" w:lineRule="auto"/>
            </w:pPr>
            <w:r>
              <w:rPr>
                <w:rFonts w:ascii="Arial" w:eastAsia="Arial" w:hAnsi="Arial" w:cs="Arial"/>
                <w:color w:val="000000"/>
                <w:sz w:val="20"/>
              </w:rPr>
              <w:t> </w:t>
            </w:r>
            <w:r>
              <w:rPr>
                <w:noProof/>
              </w:rPr>
              <w:drawing>
                <wp:inline distT="0" distB="0" distL="0" distR="0">
                  <wp:extent cx="1995120" cy="952560"/>
                  <wp:effectExtent l="0" t="0" r="5130" b="0"/>
                  <wp:docPr id="1"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995120" cy="952560"/>
                          </a:xfrm>
                          <a:prstGeom prst="rect">
                            <a:avLst/>
                          </a:prstGeom>
                          <a:noFill/>
                        </pic:spPr>
                      </pic:pic>
                    </a:graphicData>
                  </a:graphic>
                </wp:inline>
              </w:drawing>
            </w:r>
          </w:p>
        </w:tc>
        <w:tc>
          <w:tcPr>
            <w:tcW w:w="4678" w:type="dxa"/>
            <w:tcBorders>
              <w:top w:val="single" w:sz="4" w:space="0" w:color="000000"/>
              <w:right w:val="single" w:sz="4" w:space="0" w:color="000000"/>
            </w:tcBorders>
            <w:tcMar>
              <w:top w:w="0" w:type="dxa"/>
              <w:left w:w="108" w:type="dxa"/>
              <w:bottom w:w="0" w:type="dxa"/>
              <w:right w:w="108" w:type="dxa"/>
            </w:tcMar>
          </w:tcPr>
          <w:p w:rsidR="00F8545A" w:rsidRDefault="00F31069">
            <w:pPr>
              <w:spacing w:after="0" w:line="240" w:lineRule="auto"/>
              <w:jc w:val="right"/>
            </w:pPr>
            <w:r>
              <w:rPr>
                <w:noProof/>
              </w:rPr>
              <w:drawing>
                <wp:inline distT="0" distB="0" distL="0" distR="0">
                  <wp:extent cx="2060999" cy="759600"/>
                  <wp:effectExtent l="0" t="0" r="0" b="2400"/>
                  <wp:docPr id="2"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060999" cy="759600"/>
                          </a:xfrm>
                          <a:prstGeom prst="rect">
                            <a:avLst/>
                          </a:prstGeom>
                          <a:noFill/>
                        </pic:spPr>
                      </pic:pic>
                    </a:graphicData>
                  </a:graphic>
                </wp:inline>
              </w:drawing>
            </w:r>
          </w:p>
        </w:tc>
      </w:tr>
    </w:tbl>
    <w:p w:rsidR="00F8545A" w:rsidRDefault="00F31069">
      <w:pPr>
        <w:jc w:val="both"/>
      </w:pPr>
      <w:r>
        <w:rPr>
          <w:rFonts w:ascii="Arial" w:eastAsia="Arial" w:hAnsi="Arial" w:cs="Arial"/>
          <w:color w:val="000000"/>
          <w:sz w:val="20"/>
        </w:rPr>
        <w:t> </w:t>
      </w:r>
    </w:p>
    <w:p w:rsidR="00F8545A" w:rsidRDefault="00F31069">
      <w:pPr>
        <w:jc w:val="both"/>
      </w:pPr>
      <w:r>
        <w:rPr>
          <w:rFonts w:ascii="Arial" w:eastAsia="Arial" w:hAnsi="Arial" w:cs="Arial"/>
          <w:color w:val="000000"/>
          <w:sz w:val="20"/>
        </w:rPr>
        <w:t> </w:t>
      </w:r>
    </w:p>
    <w:p w:rsidR="00F8545A" w:rsidRDefault="00F31069">
      <w:pPr>
        <w:spacing w:before="1152"/>
        <w:jc w:val="both"/>
      </w:pPr>
      <w:r>
        <w:rPr>
          <w:rFonts w:ascii="Arial" w:eastAsia="Arial" w:hAnsi="Arial" w:cs="Arial"/>
          <w:b/>
          <w:color w:val="000000"/>
          <w:sz w:val="34"/>
        </w:rPr>
        <w:t>CONSEIL NATIONAL DE</w:t>
      </w:r>
    </w:p>
    <w:p w:rsidR="00F8545A" w:rsidRDefault="00F31069">
      <w:pPr>
        <w:spacing w:before="1152"/>
        <w:jc w:val="both"/>
      </w:pPr>
      <w:r>
        <w:rPr>
          <w:rFonts w:ascii="Arial" w:eastAsia="Arial" w:hAnsi="Arial" w:cs="Arial"/>
          <w:b/>
          <w:color w:val="000000"/>
          <w:sz w:val="34"/>
        </w:rPr>
        <w:t>L'INFORMATION GEOLOCALISEE</w:t>
      </w:r>
    </w:p>
    <w:p w:rsidR="00F8545A" w:rsidRDefault="00F31069">
      <w:pPr>
        <w:spacing w:before="1152"/>
        <w:jc w:val="both"/>
      </w:pPr>
      <w:r>
        <w:rPr>
          <w:rFonts w:ascii="Arial" w:eastAsia="Arial" w:hAnsi="Arial" w:cs="Arial"/>
          <w:color w:val="000000"/>
          <w:sz w:val="20"/>
        </w:rPr>
        <w:t> </w:t>
      </w:r>
    </w:p>
    <w:p w:rsidR="00F8545A" w:rsidRDefault="00F31069">
      <w:pPr>
        <w:jc w:val="both"/>
      </w:pPr>
      <w:r>
        <w:rPr>
          <w:rFonts w:ascii="Arial" w:eastAsia="Arial" w:hAnsi="Arial" w:cs="Arial"/>
          <w:b/>
          <w:color w:val="000000"/>
          <w:sz w:val="20"/>
        </w:rPr>
        <w:t>PLAN DU CORPS DE RUE SIMPLIFIE</w:t>
      </w:r>
    </w:p>
    <w:p w:rsidR="00F8545A" w:rsidRDefault="00F31069">
      <w:pPr>
        <w:spacing w:before="144"/>
        <w:jc w:val="both"/>
      </w:pPr>
      <w:r>
        <w:rPr>
          <w:rFonts w:ascii="Arial" w:eastAsia="Arial" w:hAnsi="Arial" w:cs="Arial"/>
          <w:color w:val="000000"/>
          <w:sz w:val="20"/>
        </w:rPr>
        <w:t> </w:t>
      </w:r>
    </w:p>
    <w:p w:rsidR="00F8545A" w:rsidRDefault="00F31069">
      <w:pPr>
        <w:spacing w:before="144"/>
        <w:jc w:val="both"/>
      </w:pPr>
      <w:r>
        <w:rPr>
          <w:rFonts w:ascii="Arial" w:eastAsia="Arial" w:hAnsi="Arial" w:cs="Arial"/>
          <w:color w:val="000000"/>
          <w:sz w:val="20"/>
        </w:rPr>
        <w:t> </w:t>
      </w:r>
    </w:p>
    <w:p w:rsidR="00F8545A" w:rsidRDefault="00F31069">
      <w:pPr>
        <w:spacing w:before="144"/>
        <w:jc w:val="both"/>
      </w:pPr>
      <w:r>
        <w:rPr>
          <w:rFonts w:ascii="Arial" w:eastAsia="Arial" w:hAnsi="Arial" w:cs="Arial"/>
          <w:color w:val="000000"/>
          <w:sz w:val="28"/>
        </w:rPr>
        <w:t xml:space="preserve">ANNEXE xxx : </w:t>
      </w:r>
      <w:r>
        <w:rPr>
          <w:rFonts w:ascii="Arial" w:eastAsia="Arial" w:hAnsi="Arial" w:cs="Arial"/>
          <w:color w:val="000000"/>
          <w:sz w:val="28"/>
        </w:rPr>
        <w:t xml:space="preserve">Recommandations pour la </w:t>
      </w:r>
      <w:r w:rsidR="00535C8E">
        <w:rPr>
          <w:rFonts w:ascii="Arial" w:eastAsia="Arial" w:hAnsi="Arial" w:cs="Arial"/>
          <w:color w:val="000000"/>
          <w:sz w:val="28"/>
        </w:rPr>
        <w:t>mise à disposition</w:t>
      </w:r>
      <w:r>
        <w:rPr>
          <w:rFonts w:ascii="Arial" w:eastAsia="Arial" w:hAnsi="Arial" w:cs="Arial"/>
          <w:color w:val="000000"/>
          <w:sz w:val="28"/>
        </w:rPr>
        <w:t xml:space="preserve"> du PCRS</w:t>
      </w:r>
    </w:p>
    <w:p w:rsidR="00F8545A" w:rsidRDefault="00F31069">
      <w:pPr>
        <w:spacing w:before="144"/>
        <w:jc w:val="both"/>
      </w:pPr>
      <w:r>
        <w:rPr>
          <w:rFonts w:ascii="Arial" w:eastAsia="Arial" w:hAnsi="Arial" w:cs="Arial"/>
          <w:color w:val="000000"/>
          <w:sz w:val="20"/>
        </w:rPr>
        <w:t> </w:t>
      </w:r>
    </w:p>
    <w:p w:rsidR="00F8545A" w:rsidRDefault="00F31069">
      <w:pPr>
        <w:spacing w:before="144"/>
        <w:jc w:val="both"/>
      </w:pPr>
      <w:r>
        <w:rPr>
          <w:rFonts w:ascii="Arial" w:eastAsia="Arial" w:hAnsi="Arial" w:cs="Arial"/>
          <w:color w:val="000000"/>
          <w:sz w:val="20"/>
        </w:rPr>
        <w:t> </w:t>
      </w:r>
    </w:p>
    <w:p w:rsidR="00F8545A" w:rsidRDefault="00F31069">
      <w:pPr>
        <w:spacing w:before="144"/>
        <w:jc w:val="both"/>
      </w:pPr>
      <w:r>
        <w:rPr>
          <w:rFonts w:ascii="Arial" w:eastAsia="Arial" w:hAnsi="Arial" w:cs="Arial"/>
          <w:color w:val="000000"/>
          <w:sz w:val="20"/>
        </w:rPr>
        <w:t> </w:t>
      </w:r>
    </w:p>
    <w:p w:rsidR="00F8545A" w:rsidRDefault="00F31069">
      <w:pPr>
        <w:spacing w:before="144"/>
        <w:jc w:val="both"/>
      </w:pPr>
      <w:r>
        <w:rPr>
          <w:rFonts w:ascii="Arial" w:eastAsia="Arial" w:hAnsi="Arial" w:cs="Arial"/>
          <w:color w:val="000000"/>
          <w:sz w:val="20"/>
        </w:rPr>
        <w:t> </w:t>
      </w:r>
    </w:p>
    <w:p w:rsidR="00F8545A" w:rsidRDefault="00F8545A">
      <w:pPr>
        <w:spacing w:before="144"/>
        <w:jc w:val="both"/>
      </w:pPr>
    </w:p>
    <w:p w:rsidR="00F8545A" w:rsidRDefault="00F8545A">
      <w:pPr>
        <w:spacing w:before="144"/>
        <w:jc w:val="both"/>
      </w:pPr>
    </w:p>
    <w:p w:rsidR="00F8545A" w:rsidRDefault="00F8545A">
      <w:pPr>
        <w:spacing w:before="144"/>
        <w:jc w:val="both"/>
      </w:pPr>
    </w:p>
    <w:p w:rsidR="00F8545A" w:rsidRDefault="00F8545A">
      <w:pPr>
        <w:spacing w:before="144"/>
        <w:jc w:val="both"/>
      </w:pPr>
    </w:p>
    <w:tbl>
      <w:tblPr>
        <w:tblW w:w="0" w:type="auto"/>
        <w:tblLayout w:type="fixed"/>
        <w:tblCellMar>
          <w:left w:w="10" w:type="dxa"/>
          <w:right w:w="10" w:type="dxa"/>
        </w:tblCellMar>
        <w:tblLook w:val="0000" w:firstRow="0" w:lastRow="0" w:firstColumn="0" w:lastColumn="0" w:noHBand="0" w:noVBand="0"/>
      </w:tblPr>
      <w:tblGrid>
        <w:gridCol w:w="2071"/>
        <w:gridCol w:w="7285"/>
      </w:tblGrid>
      <w:tr w:rsidR="00F8545A">
        <w:tblPrEx>
          <w:tblCellMar>
            <w:top w:w="0" w:type="dxa"/>
            <w:bottom w:w="0" w:type="dxa"/>
          </w:tblCellMar>
        </w:tblPrEx>
        <w:tc>
          <w:tcPr>
            <w:tcW w:w="2071" w:type="dxa"/>
            <w:tcBorders>
              <w:top w:val="single" w:sz="8" w:space="0" w:color="000001"/>
              <w:left w:val="single" w:sz="4" w:space="0" w:color="000000"/>
            </w:tcBorders>
            <w:tcMar>
              <w:top w:w="0" w:type="dxa"/>
              <w:left w:w="108" w:type="dxa"/>
              <w:bottom w:w="0" w:type="dxa"/>
              <w:right w:w="108" w:type="dxa"/>
            </w:tcMar>
          </w:tcPr>
          <w:p w:rsidR="00F8545A" w:rsidRDefault="00F31069">
            <w:pPr>
              <w:spacing w:after="0" w:line="240" w:lineRule="auto"/>
              <w:jc w:val="both"/>
            </w:pPr>
            <w:r>
              <w:rPr>
                <w:rFonts w:ascii="Arial" w:eastAsia="Arial" w:hAnsi="Arial" w:cs="Arial"/>
                <w:b/>
                <w:color w:val="000000"/>
                <w:sz w:val="20"/>
              </w:rPr>
              <w:t>Version</w:t>
            </w:r>
          </w:p>
        </w:tc>
        <w:tc>
          <w:tcPr>
            <w:tcW w:w="7285" w:type="dxa"/>
            <w:tcBorders>
              <w:top w:val="single" w:sz="8" w:space="0" w:color="000001"/>
              <w:right w:val="single" w:sz="4" w:space="0" w:color="000000"/>
            </w:tcBorders>
            <w:tcMar>
              <w:top w:w="0" w:type="dxa"/>
              <w:left w:w="108" w:type="dxa"/>
              <w:bottom w:w="0" w:type="dxa"/>
              <w:right w:w="108" w:type="dxa"/>
            </w:tcMar>
          </w:tcPr>
          <w:p w:rsidR="00F8545A" w:rsidRDefault="00F31069">
            <w:pPr>
              <w:spacing w:after="113" w:line="240" w:lineRule="auto"/>
              <w:jc w:val="both"/>
            </w:pPr>
            <w:r>
              <w:rPr>
                <w:rFonts w:ascii="Arial" w:eastAsia="Arial" w:hAnsi="Arial" w:cs="Arial"/>
                <w:color w:val="000000"/>
                <w:sz w:val="20"/>
              </w:rPr>
              <w:t>version 0.1 –  mai 2025</w:t>
            </w:r>
            <w:r>
              <w:rPr>
                <w:rFonts w:ascii="Arial" w:eastAsia="Arial" w:hAnsi="Arial" w:cs="Arial"/>
                <w:color w:val="000000"/>
                <w:sz w:val="20"/>
              </w:rPr>
              <w:br/>
            </w:r>
            <w:r>
              <w:rPr>
                <w:rFonts w:ascii="Arial" w:eastAsia="Arial" w:hAnsi="Arial" w:cs="Arial"/>
                <w:color w:val="000000"/>
                <w:sz w:val="20"/>
              </w:rPr>
              <w:t xml:space="preserve"> </w:t>
            </w:r>
          </w:p>
        </w:tc>
      </w:tr>
    </w:tbl>
    <w:p w:rsidR="00535C8E" w:rsidRDefault="00535C8E"/>
    <w:p w:rsidR="00535C8E" w:rsidRDefault="00535C8E">
      <w:r>
        <w:br w:type="page"/>
      </w:r>
    </w:p>
    <w:p w:rsidR="00F8545A" w:rsidRPr="00535C8E" w:rsidRDefault="00F31069">
      <w:pPr>
        <w:pStyle w:val="TM1"/>
        <w:pageBreakBefore/>
        <w:tabs>
          <w:tab w:val="right" w:leader="dot" w:pos="9071"/>
        </w:tabs>
        <w:rPr>
          <w:rFonts w:ascii="Arial" w:hAnsi="Arial" w:cs="Arial"/>
        </w:rPr>
      </w:pPr>
      <w:r>
        <w:lastRenderedPageBreak/>
        <w:fldChar w:fldCharType="begin"/>
      </w:r>
      <w:r>
        <w:instrText xml:space="preserve"> TOC \o "1-9" \u \l 1-9 </w:instrText>
      </w:r>
      <w:r>
        <w:fldChar w:fldCharType="separate"/>
      </w:r>
      <w:hyperlink r:id="rId10" w:history="1">
        <w:r w:rsidRPr="00535C8E">
          <w:rPr>
            <w:rFonts w:ascii="Arial" w:eastAsia="Aptos Display" w:hAnsi="Arial" w:cs="Arial"/>
            <w:color w:val="0F4761"/>
            <w:sz w:val="40"/>
          </w:rPr>
          <w:t>Sommaire</w:t>
        </w:r>
        <w:r w:rsidRPr="00535C8E">
          <w:rPr>
            <w:rFonts w:ascii="Arial" w:hAnsi="Arial" w:cs="Arial"/>
          </w:rPr>
          <w:tab/>
          <w:t>2</w:t>
        </w:r>
      </w:hyperlink>
    </w:p>
    <w:p w:rsidR="00F8545A" w:rsidRPr="00535C8E" w:rsidRDefault="00F31069">
      <w:pPr>
        <w:pStyle w:val="TM1"/>
        <w:tabs>
          <w:tab w:val="left" w:pos="567"/>
          <w:tab w:val="right" w:leader="dot" w:pos="9071"/>
        </w:tabs>
        <w:rPr>
          <w:rFonts w:ascii="Arial" w:hAnsi="Arial" w:cs="Arial"/>
        </w:rPr>
      </w:pPr>
      <w:hyperlink r:id="rId11" w:history="1">
        <w:r w:rsidRPr="00535C8E">
          <w:rPr>
            <w:rFonts w:ascii="Arial" w:eastAsia="Aptos Display" w:hAnsi="Arial" w:cs="Arial"/>
          </w:rPr>
          <w:t>1</w:t>
        </w:r>
        <w:r w:rsidRPr="00535C8E">
          <w:rPr>
            <w:rFonts w:ascii="Arial" w:hAnsi="Arial" w:cs="Arial"/>
          </w:rPr>
          <w:tab/>
        </w:r>
        <w:r w:rsidRPr="00535C8E">
          <w:rPr>
            <w:rStyle w:val="Lienhypertexte"/>
            <w:rFonts w:ascii="Arial" w:hAnsi="Arial" w:cs="Arial"/>
          </w:rPr>
          <w:t>Rappels sur le PCRS</w:t>
        </w:r>
        <w:r w:rsidRPr="00535C8E">
          <w:rPr>
            <w:rFonts w:ascii="Arial" w:hAnsi="Arial" w:cs="Arial"/>
          </w:rPr>
          <w:tab/>
          <w:t>5</w:t>
        </w:r>
      </w:hyperlink>
    </w:p>
    <w:p w:rsidR="00F8545A" w:rsidRPr="00535C8E" w:rsidRDefault="00F31069">
      <w:pPr>
        <w:pStyle w:val="TM1"/>
        <w:tabs>
          <w:tab w:val="left" w:pos="567"/>
          <w:tab w:val="right" w:leader="dot" w:pos="9071"/>
        </w:tabs>
        <w:rPr>
          <w:rFonts w:ascii="Arial" w:hAnsi="Arial" w:cs="Arial"/>
        </w:rPr>
      </w:pPr>
      <w:hyperlink r:id="rId12" w:history="1">
        <w:r w:rsidRPr="00535C8E">
          <w:rPr>
            <w:rFonts w:ascii="Arial" w:eastAsia="Aptos Display" w:hAnsi="Arial" w:cs="Arial"/>
          </w:rPr>
          <w:t>2</w:t>
        </w:r>
        <w:r w:rsidRPr="00535C8E">
          <w:rPr>
            <w:rFonts w:ascii="Arial" w:hAnsi="Arial" w:cs="Arial"/>
          </w:rPr>
          <w:tab/>
        </w:r>
        <w:r w:rsidRPr="00535C8E">
          <w:rPr>
            <w:rStyle w:val="Lienhypertexte"/>
            <w:rFonts w:ascii="Arial" w:eastAsia="Arial" w:hAnsi="Arial" w:cs="Arial"/>
          </w:rPr>
          <w:t>Objectifs de ce document</w:t>
        </w:r>
        <w:r w:rsidRPr="00535C8E">
          <w:rPr>
            <w:rFonts w:ascii="Arial" w:hAnsi="Arial" w:cs="Arial"/>
          </w:rPr>
          <w:tab/>
          <w:t>5</w:t>
        </w:r>
      </w:hyperlink>
    </w:p>
    <w:p w:rsidR="00F8545A" w:rsidRPr="00535C8E" w:rsidRDefault="00F31069">
      <w:pPr>
        <w:pStyle w:val="TM1"/>
        <w:tabs>
          <w:tab w:val="left" w:pos="567"/>
          <w:tab w:val="right" w:leader="dot" w:pos="9071"/>
        </w:tabs>
        <w:rPr>
          <w:rFonts w:ascii="Arial" w:hAnsi="Arial" w:cs="Arial"/>
        </w:rPr>
      </w:pPr>
      <w:hyperlink r:id="rId13" w:history="1">
        <w:r w:rsidRPr="00535C8E">
          <w:rPr>
            <w:rFonts w:ascii="Arial" w:eastAsia="Aptos Display" w:hAnsi="Arial" w:cs="Arial"/>
          </w:rPr>
          <w:t>3</w:t>
        </w:r>
        <w:r w:rsidRPr="00535C8E">
          <w:rPr>
            <w:rFonts w:ascii="Arial" w:hAnsi="Arial" w:cs="Arial"/>
          </w:rPr>
          <w:tab/>
        </w:r>
        <w:r w:rsidRPr="00535C8E">
          <w:rPr>
            <w:rStyle w:val="Lienhypertexte"/>
            <w:rFonts w:ascii="Arial" w:hAnsi="Arial" w:cs="Arial"/>
          </w:rPr>
          <w:t>Repères organisationnels</w:t>
        </w:r>
        <w:r w:rsidRPr="00535C8E">
          <w:rPr>
            <w:rFonts w:ascii="Arial" w:hAnsi="Arial" w:cs="Arial"/>
          </w:rPr>
          <w:tab/>
          <w:t>6</w:t>
        </w:r>
      </w:hyperlink>
    </w:p>
    <w:p w:rsidR="00F8545A" w:rsidRPr="00535C8E" w:rsidRDefault="00F31069">
      <w:pPr>
        <w:pStyle w:val="TM2"/>
        <w:tabs>
          <w:tab w:val="left" w:pos="1070"/>
          <w:tab w:val="right" w:leader="dot" w:pos="9291"/>
        </w:tabs>
        <w:rPr>
          <w:rFonts w:ascii="Arial" w:hAnsi="Arial" w:cs="Arial"/>
        </w:rPr>
      </w:pPr>
      <w:hyperlink r:id="rId14" w:history="1">
        <w:r w:rsidRPr="00535C8E">
          <w:rPr>
            <w:rFonts w:ascii="Arial" w:eastAsia="Aptos Display" w:hAnsi="Arial" w:cs="Arial"/>
          </w:rPr>
          <w:t>3.1</w:t>
        </w:r>
        <w:r w:rsidRPr="00535C8E">
          <w:rPr>
            <w:rFonts w:ascii="Arial" w:hAnsi="Arial" w:cs="Arial"/>
          </w:rPr>
          <w:tab/>
        </w:r>
        <w:r w:rsidRPr="00535C8E">
          <w:rPr>
            <w:rStyle w:val="Lienhypertexte"/>
            <w:rFonts w:ascii="Arial" w:hAnsi="Arial" w:cs="Arial"/>
          </w:rPr>
          <w:t>Statut de la collectivité</w:t>
        </w:r>
        <w:r w:rsidRPr="00535C8E">
          <w:rPr>
            <w:rFonts w:ascii="Arial" w:hAnsi="Arial" w:cs="Arial"/>
          </w:rPr>
          <w:tab/>
          <w:t>6</w:t>
        </w:r>
      </w:hyperlink>
    </w:p>
    <w:p w:rsidR="00F8545A" w:rsidRPr="00535C8E" w:rsidRDefault="00F31069">
      <w:pPr>
        <w:pStyle w:val="TM3"/>
        <w:tabs>
          <w:tab w:val="left" w:pos="1857"/>
          <w:tab w:val="right" w:leader="dot" w:pos="9511"/>
        </w:tabs>
        <w:rPr>
          <w:rFonts w:ascii="Arial" w:hAnsi="Arial" w:cs="Arial"/>
        </w:rPr>
      </w:pPr>
      <w:hyperlink r:id="rId15" w:history="1">
        <w:r w:rsidRPr="00535C8E">
          <w:rPr>
            <w:rFonts w:ascii="Arial" w:hAnsi="Arial" w:cs="Arial"/>
          </w:rPr>
          <w:t>3.1.1</w:t>
        </w:r>
        <w:r w:rsidRPr="00535C8E">
          <w:rPr>
            <w:rFonts w:ascii="Arial" w:hAnsi="Arial" w:cs="Arial"/>
          </w:rPr>
          <w:tab/>
        </w:r>
        <w:r w:rsidRPr="00535C8E">
          <w:rPr>
            <w:rStyle w:val="Lienhypertexte"/>
            <w:rFonts w:ascii="Arial" w:hAnsi="Arial" w:cs="Arial"/>
          </w:rPr>
          <w:t>Déclaration du statut APLC</w:t>
        </w:r>
        <w:r w:rsidRPr="00535C8E">
          <w:rPr>
            <w:rFonts w:ascii="Arial" w:hAnsi="Arial" w:cs="Arial"/>
          </w:rPr>
          <w:tab/>
          <w:t>6</w:t>
        </w:r>
      </w:hyperlink>
    </w:p>
    <w:p w:rsidR="00F8545A" w:rsidRPr="00535C8E" w:rsidRDefault="00F31069">
      <w:pPr>
        <w:pStyle w:val="TM3"/>
        <w:tabs>
          <w:tab w:val="left" w:pos="1857"/>
          <w:tab w:val="right" w:leader="dot" w:pos="9511"/>
        </w:tabs>
        <w:rPr>
          <w:rFonts w:ascii="Arial" w:hAnsi="Arial" w:cs="Arial"/>
        </w:rPr>
      </w:pPr>
      <w:hyperlink r:id="rId16" w:history="1">
        <w:r w:rsidRPr="00535C8E">
          <w:rPr>
            <w:rFonts w:ascii="Arial" w:hAnsi="Arial" w:cs="Arial"/>
          </w:rPr>
          <w:t>3.1.2</w:t>
        </w:r>
        <w:r w:rsidRPr="00535C8E">
          <w:rPr>
            <w:rFonts w:ascii="Arial" w:hAnsi="Arial" w:cs="Arial"/>
          </w:rPr>
          <w:tab/>
        </w:r>
        <w:r w:rsidRPr="00535C8E">
          <w:rPr>
            <w:rStyle w:val="Lienhypertexte"/>
            <w:rFonts w:ascii="Arial" w:hAnsi="Arial" w:cs="Arial"/>
          </w:rPr>
          <w:t>Fin du statut APLC</w:t>
        </w:r>
        <w:r w:rsidRPr="00535C8E">
          <w:rPr>
            <w:rFonts w:ascii="Arial" w:hAnsi="Arial" w:cs="Arial"/>
          </w:rPr>
          <w:tab/>
          <w:t>7</w:t>
        </w:r>
      </w:hyperlink>
    </w:p>
    <w:p w:rsidR="00F8545A" w:rsidRPr="00535C8E" w:rsidRDefault="00F31069">
      <w:pPr>
        <w:pStyle w:val="TM3"/>
        <w:tabs>
          <w:tab w:val="left" w:pos="1857"/>
          <w:tab w:val="right" w:leader="dot" w:pos="9511"/>
        </w:tabs>
        <w:rPr>
          <w:rFonts w:ascii="Arial" w:hAnsi="Arial" w:cs="Arial"/>
        </w:rPr>
      </w:pPr>
      <w:hyperlink r:id="rId17" w:history="1">
        <w:r w:rsidRPr="00535C8E">
          <w:rPr>
            <w:rFonts w:ascii="Arial" w:hAnsi="Arial" w:cs="Arial"/>
          </w:rPr>
          <w:t>3.1.3</w:t>
        </w:r>
        <w:r w:rsidRPr="00535C8E">
          <w:rPr>
            <w:rFonts w:ascii="Arial" w:hAnsi="Arial" w:cs="Arial"/>
          </w:rPr>
          <w:tab/>
        </w:r>
        <w:r w:rsidRPr="00535C8E">
          <w:rPr>
            <w:rStyle w:val="Lienhypertexte"/>
            <w:rFonts w:ascii="Arial" w:hAnsi="Arial" w:cs="Arial"/>
          </w:rPr>
          <w:t>Médiation du projet</w:t>
        </w:r>
        <w:r w:rsidRPr="00535C8E">
          <w:rPr>
            <w:rFonts w:ascii="Arial" w:hAnsi="Arial" w:cs="Arial"/>
          </w:rPr>
          <w:tab/>
          <w:t>7</w:t>
        </w:r>
      </w:hyperlink>
    </w:p>
    <w:p w:rsidR="00F8545A" w:rsidRPr="00535C8E" w:rsidRDefault="00F31069">
      <w:pPr>
        <w:pStyle w:val="TM2"/>
        <w:tabs>
          <w:tab w:val="left" w:pos="1070"/>
          <w:tab w:val="right" w:leader="dot" w:pos="9291"/>
        </w:tabs>
        <w:rPr>
          <w:rFonts w:ascii="Arial" w:hAnsi="Arial" w:cs="Arial"/>
        </w:rPr>
      </w:pPr>
      <w:hyperlink r:id="rId18" w:history="1">
        <w:r w:rsidRPr="00535C8E">
          <w:rPr>
            <w:rFonts w:ascii="Arial" w:eastAsia="Aptos Display" w:hAnsi="Arial" w:cs="Arial"/>
          </w:rPr>
          <w:t>3.2</w:t>
        </w:r>
        <w:r w:rsidRPr="00535C8E">
          <w:rPr>
            <w:rFonts w:ascii="Arial" w:hAnsi="Arial" w:cs="Arial"/>
          </w:rPr>
          <w:tab/>
        </w:r>
        <w:r w:rsidRPr="00535C8E">
          <w:rPr>
            <w:rStyle w:val="Lienhypertexte"/>
            <w:rFonts w:ascii="Arial" w:hAnsi="Arial" w:cs="Arial"/>
          </w:rPr>
          <w:t>Disponibilité de la donnée</w:t>
        </w:r>
        <w:r w:rsidRPr="00535C8E">
          <w:rPr>
            <w:rFonts w:ascii="Arial" w:hAnsi="Arial" w:cs="Arial"/>
          </w:rPr>
          <w:tab/>
          <w:t>8</w:t>
        </w:r>
      </w:hyperlink>
    </w:p>
    <w:p w:rsidR="00F8545A" w:rsidRPr="00535C8E" w:rsidRDefault="00F31069">
      <w:pPr>
        <w:pStyle w:val="TM3"/>
        <w:tabs>
          <w:tab w:val="left" w:pos="1857"/>
          <w:tab w:val="right" w:leader="dot" w:pos="9511"/>
        </w:tabs>
        <w:rPr>
          <w:rFonts w:ascii="Arial" w:hAnsi="Arial" w:cs="Arial"/>
        </w:rPr>
      </w:pPr>
      <w:hyperlink r:id="rId19" w:history="1">
        <w:r w:rsidRPr="00535C8E">
          <w:rPr>
            <w:rFonts w:ascii="Arial" w:hAnsi="Arial" w:cs="Arial"/>
          </w:rPr>
          <w:t>3.2.1</w:t>
        </w:r>
        <w:r w:rsidRPr="00535C8E">
          <w:rPr>
            <w:rFonts w:ascii="Arial" w:hAnsi="Arial" w:cs="Arial"/>
          </w:rPr>
          <w:tab/>
        </w:r>
        <w:r w:rsidRPr="00535C8E">
          <w:rPr>
            <w:rStyle w:val="Lienhypertexte"/>
            <w:rFonts w:ascii="Arial" w:hAnsi="Arial" w:cs="Arial"/>
          </w:rPr>
          <w:t>Le PCRS est librement accessible</w:t>
        </w:r>
        <w:r w:rsidRPr="00535C8E">
          <w:rPr>
            <w:rFonts w:ascii="Arial" w:hAnsi="Arial" w:cs="Arial"/>
          </w:rPr>
          <w:tab/>
          <w:t>8</w:t>
        </w:r>
      </w:hyperlink>
    </w:p>
    <w:p w:rsidR="00F8545A" w:rsidRPr="00535C8E" w:rsidRDefault="00F31069">
      <w:pPr>
        <w:pStyle w:val="TM3"/>
        <w:tabs>
          <w:tab w:val="left" w:pos="1857"/>
          <w:tab w:val="right" w:leader="dot" w:pos="9511"/>
        </w:tabs>
        <w:rPr>
          <w:rFonts w:ascii="Arial" w:hAnsi="Arial" w:cs="Arial"/>
        </w:rPr>
      </w:pPr>
      <w:hyperlink r:id="rId20" w:history="1">
        <w:r w:rsidRPr="00535C8E">
          <w:rPr>
            <w:rFonts w:ascii="Arial" w:hAnsi="Arial" w:cs="Arial"/>
          </w:rPr>
          <w:t>3.2.2</w:t>
        </w:r>
        <w:r w:rsidRPr="00535C8E">
          <w:rPr>
            <w:rFonts w:ascii="Arial" w:hAnsi="Arial" w:cs="Arial"/>
          </w:rPr>
          <w:tab/>
        </w:r>
        <w:r w:rsidRPr="00535C8E">
          <w:rPr>
            <w:rStyle w:val="Lienhypertexte"/>
            <w:rFonts w:ascii="Arial" w:hAnsi="Arial" w:cs="Arial"/>
          </w:rPr>
          <w:t xml:space="preserve">Le PCRS est </w:t>
        </w:r>
        <w:r w:rsidRPr="00535C8E">
          <w:rPr>
            <w:rStyle w:val="Lienhypertexte"/>
            <w:rFonts w:ascii="Arial" w:hAnsi="Arial" w:cs="Arial"/>
          </w:rPr>
          <w:t>en accès restreint</w:t>
        </w:r>
        <w:r w:rsidRPr="00535C8E">
          <w:rPr>
            <w:rFonts w:ascii="Arial" w:hAnsi="Arial" w:cs="Arial"/>
          </w:rPr>
          <w:tab/>
          <w:t>8</w:t>
        </w:r>
      </w:hyperlink>
    </w:p>
    <w:p w:rsidR="00F8545A" w:rsidRPr="00535C8E" w:rsidRDefault="00F31069">
      <w:pPr>
        <w:pStyle w:val="TM2"/>
        <w:tabs>
          <w:tab w:val="left" w:pos="1070"/>
          <w:tab w:val="right" w:leader="dot" w:pos="9291"/>
        </w:tabs>
        <w:rPr>
          <w:rFonts w:ascii="Arial" w:hAnsi="Arial" w:cs="Arial"/>
        </w:rPr>
      </w:pPr>
      <w:hyperlink r:id="rId21" w:history="1">
        <w:r w:rsidRPr="00535C8E">
          <w:rPr>
            <w:rFonts w:ascii="Arial" w:eastAsia="Aptos Display" w:hAnsi="Arial" w:cs="Arial"/>
          </w:rPr>
          <w:t>3.3</w:t>
        </w:r>
        <w:r w:rsidRPr="00535C8E">
          <w:rPr>
            <w:rFonts w:ascii="Arial" w:hAnsi="Arial" w:cs="Arial"/>
          </w:rPr>
          <w:tab/>
        </w:r>
        <w:r w:rsidRPr="00535C8E">
          <w:rPr>
            <w:rStyle w:val="Lienhypertexte"/>
            <w:rFonts w:ascii="Arial" w:hAnsi="Arial" w:cs="Arial"/>
          </w:rPr>
          <w:t>Mise à jour</w:t>
        </w:r>
        <w:r w:rsidRPr="00535C8E">
          <w:rPr>
            <w:rFonts w:ascii="Arial" w:hAnsi="Arial" w:cs="Arial"/>
          </w:rPr>
          <w:tab/>
          <w:t>9</w:t>
        </w:r>
      </w:hyperlink>
    </w:p>
    <w:p w:rsidR="00F8545A" w:rsidRPr="00535C8E" w:rsidRDefault="00F31069">
      <w:pPr>
        <w:pStyle w:val="TM1"/>
        <w:tabs>
          <w:tab w:val="left" w:pos="567"/>
          <w:tab w:val="right" w:leader="dot" w:pos="9071"/>
        </w:tabs>
        <w:rPr>
          <w:rFonts w:ascii="Arial" w:hAnsi="Arial" w:cs="Arial"/>
        </w:rPr>
      </w:pPr>
      <w:hyperlink r:id="rId22" w:history="1">
        <w:r w:rsidRPr="00535C8E">
          <w:rPr>
            <w:rFonts w:ascii="Arial" w:eastAsia="Aptos Display" w:hAnsi="Arial" w:cs="Arial"/>
          </w:rPr>
          <w:t>4</w:t>
        </w:r>
        <w:r w:rsidRPr="00535C8E">
          <w:rPr>
            <w:rFonts w:ascii="Arial" w:hAnsi="Arial" w:cs="Arial"/>
          </w:rPr>
          <w:tab/>
        </w:r>
        <w:r w:rsidRPr="00535C8E">
          <w:rPr>
            <w:rStyle w:val="Lienhypertexte"/>
            <w:rFonts w:ascii="Arial" w:hAnsi="Arial" w:cs="Arial"/>
          </w:rPr>
          <w:t>Technique</w:t>
        </w:r>
        <w:r w:rsidRPr="00535C8E">
          <w:rPr>
            <w:rFonts w:ascii="Arial" w:hAnsi="Arial" w:cs="Arial"/>
          </w:rPr>
          <w:tab/>
          <w:t>10</w:t>
        </w:r>
      </w:hyperlink>
    </w:p>
    <w:p w:rsidR="00F8545A" w:rsidRPr="00535C8E" w:rsidRDefault="00F31069">
      <w:pPr>
        <w:pStyle w:val="TM2"/>
        <w:tabs>
          <w:tab w:val="left" w:pos="1070"/>
          <w:tab w:val="right" w:leader="dot" w:pos="9291"/>
        </w:tabs>
        <w:rPr>
          <w:rFonts w:ascii="Arial" w:hAnsi="Arial" w:cs="Arial"/>
        </w:rPr>
      </w:pPr>
      <w:hyperlink r:id="rId23" w:history="1">
        <w:r w:rsidRPr="00535C8E">
          <w:rPr>
            <w:rFonts w:ascii="Arial" w:eastAsia="Aptos Display" w:hAnsi="Arial" w:cs="Arial"/>
          </w:rPr>
          <w:t>4.1</w:t>
        </w:r>
        <w:r w:rsidRPr="00535C8E">
          <w:rPr>
            <w:rFonts w:ascii="Arial" w:hAnsi="Arial" w:cs="Arial"/>
          </w:rPr>
          <w:tab/>
        </w:r>
        <w:r w:rsidRPr="00535C8E">
          <w:rPr>
            <w:rStyle w:val="Lienhypertexte"/>
            <w:rFonts w:ascii="Arial" w:hAnsi="Arial" w:cs="Arial"/>
          </w:rPr>
          <w:t>Critères de conformité au terme "Meilleur fond de plan"</w:t>
        </w:r>
        <w:r w:rsidRPr="00535C8E">
          <w:rPr>
            <w:rFonts w:ascii="Arial" w:hAnsi="Arial" w:cs="Arial"/>
          </w:rPr>
          <w:tab/>
          <w:t>10</w:t>
        </w:r>
      </w:hyperlink>
    </w:p>
    <w:p w:rsidR="00F8545A" w:rsidRPr="00535C8E" w:rsidRDefault="00F31069">
      <w:pPr>
        <w:pStyle w:val="TM3"/>
        <w:tabs>
          <w:tab w:val="left" w:pos="1857"/>
          <w:tab w:val="right" w:leader="dot" w:pos="9511"/>
        </w:tabs>
        <w:rPr>
          <w:rFonts w:ascii="Arial" w:hAnsi="Arial" w:cs="Arial"/>
        </w:rPr>
      </w:pPr>
      <w:hyperlink r:id="rId24" w:history="1">
        <w:r w:rsidRPr="00535C8E">
          <w:rPr>
            <w:rFonts w:ascii="Arial" w:hAnsi="Arial" w:cs="Arial"/>
          </w:rPr>
          <w:t>4.1.1</w:t>
        </w:r>
        <w:r w:rsidRPr="00535C8E">
          <w:rPr>
            <w:rFonts w:ascii="Arial" w:hAnsi="Arial" w:cs="Arial"/>
          </w:rPr>
          <w:tab/>
        </w:r>
        <w:r w:rsidRPr="00535C8E">
          <w:rPr>
            <w:rStyle w:val="Lienhypertexte"/>
            <w:rFonts w:ascii="Arial" w:hAnsi="Arial" w:cs="Arial"/>
          </w:rPr>
          <w:t>Respect du standard PCRS</w:t>
        </w:r>
        <w:r w:rsidRPr="00535C8E">
          <w:rPr>
            <w:rStyle w:val="Lienhypertexte"/>
            <w:rFonts w:ascii="Arial" w:hAnsi="Arial" w:cs="Arial"/>
          </w:rPr>
          <w:t xml:space="preserve"> et de ses annexes</w:t>
        </w:r>
        <w:r w:rsidRPr="00535C8E">
          <w:rPr>
            <w:rFonts w:ascii="Arial" w:hAnsi="Arial" w:cs="Arial"/>
          </w:rPr>
          <w:tab/>
          <w:t>10</w:t>
        </w:r>
      </w:hyperlink>
    </w:p>
    <w:p w:rsidR="00F8545A" w:rsidRPr="00535C8E" w:rsidRDefault="00F31069">
      <w:pPr>
        <w:pStyle w:val="TM3"/>
        <w:tabs>
          <w:tab w:val="left" w:pos="1857"/>
          <w:tab w:val="right" w:leader="dot" w:pos="9511"/>
        </w:tabs>
        <w:rPr>
          <w:rFonts w:ascii="Arial" w:hAnsi="Arial" w:cs="Arial"/>
        </w:rPr>
      </w:pPr>
      <w:hyperlink r:id="rId25" w:history="1">
        <w:r w:rsidRPr="00535C8E">
          <w:rPr>
            <w:rFonts w:ascii="Arial" w:hAnsi="Arial" w:cs="Arial"/>
          </w:rPr>
          <w:t>4.1.2</w:t>
        </w:r>
        <w:r w:rsidRPr="00535C8E">
          <w:rPr>
            <w:rFonts w:ascii="Arial" w:hAnsi="Arial" w:cs="Arial"/>
          </w:rPr>
          <w:tab/>
        </w:r>
        <w:r w:rsidRPr="00535C8E">
          <w:rPr>
            <w:rStyle w:val="Lienhypertexte"/>
            <w:rFonts w:ascii="Arial" w:hAnsi="Arial" w:cs="Arial"/>
          </w:rPr>
          <w:t>Nature du PCRS</w:t>
        </w:r>
        <w:r w:rsidRPr="00535C8E">
          <w:rPr>
            <w:rFonts w:ascii="Arial" w:hAnsi="Arial" w:cs="Arial"/>
          </w:rPr>
          <w:tab/>
          <w:t>11</w:t>
        </w:r>
      </w:hyperlink>
    </w:p>
    <w:p w:rsidR="00F8545A" w:rsidRPr="00535C8E" w:rsidRDefault="00F31069">
      <w:pPr>
        <w:pStyle w:val="TM4"/>
        <w:tabs>
          <w:tab w:val="right" w:leader="dot" w:pos="9731"/>
        </w:tabs>
        <w:rPr>
          <w:rFonts w:ascii="Arial" w:hAnsi="Arial" w:cs="Arial"/>
        </w:rPr>
      </w:pPr>
      <w:hyperlink r:id="rId26" w:history="1">
        <w:r w:rsidRPr="00535C8E">
          <w:rPr>
            <w:rStyle w:val="Lienhypertexte"/>
            <w:rFonts w:ascii="Arial" w:eastAsia="Arial" w:hAnsi="Arial" w:cs="Arial"/>
          </w:rPr>
          <w:t>4.1.2.1 PCRS Vecteur</w:t>
        </w:r>
        <w:r w:rsidRPr="00535C8E">
          <w:rPr>
            <w:rFonts w:ascii="Arial" w:hAnsi="Arial" w:cs="Arial"/>
          </w:rPr>
          <w:tab/>
          <w:t>11</w:t>
        </w:r>
      </w:hyperlink>
    </w:p>
    <w:p w:rsidR="00F8545A" w:rsidRPr="00535C8E" w:rsidRDefault="00F31069">
      <w:pPr>
        <w:pStyle w:val="TM4"/>
        <w:tabs>
          <w:tab w:val="right" w:leader="dot" w:pos="9731"/>
        </w:tabs>
        <w:rPr>
          <w:rFonts w:ascii="Arial" w:hAnsi="Arial" w:cs="Arial"/>
        </w:rPr>
      </w:pPr>
      <w:hyperlink r:id="rId27" w:history="1">
        <w:r w:rsidRPr="00535C8E">
          <w:rPr>
            <w:rStyle w:val="Lienhypertexte"/>
            <w:rFonts w:ascii="Arial" w:eastAsia="Arial" w:hAnsi="Arial" w:cs="Arial"/>
          </w:rPr>
          <w:t>4.1.2.2 Le RTGE (ou PCRC)</w:t>
        </w:r>
        <w:r w:rsidRPr="00535C8E">
          <w:rPr>
            <w:rFonts w:ascii="Arial" w:hAnsi="Arial" w:cs="Arial"/>
          </w:rPr>
          <w:tab/>
          <w:t>12</w:t>
        </w:r>
      </w:hyperlink>
    </w:p>
    <w:p w:rsidR="00F8545A" w:rsidRPr="00535C8E" w:rsidRDefault="00F31069">
      <w:pPr>
        <w:pStyle w:val="TM4"/>
        <w:tabs>
          <w:tab w:val="right" w:leader="dot" w:pos="9731"/>
        </w:tabs>
        <w:rPr>
          <w:rFonts w:ascii="Arial" w:hAnsi="Arial" w:cs="Arial"/>
        </w:rPr>
      </w:pPr>
      <w:hyperlink r:id="rId28" w:history="1">
        <w:r w:rsidRPr="00535C8E">
          <w:rPr>
            <w:rStyle w:val="Lienhypertexte"/>
            <w:rFonts w:ascii="Arial" w:eastAsia="Arial" w:hAnsi="Arial" w:cs="Arial"/>
          </w:rPr>
          <w:t>4.1.2.3 PCRS Raster</w:t>
        </w:r>
        <w:r w:rsidRPr="00535C8E">
          <w:rPr>
            <w:rFonts w:ascii="Arial" w:hAnsi="Arial" w:cs="Arial"/>
          </w:rPr>
          <w:tab/>
          <w:t>12</w:t>
        </w:r>
      </w:hyperlink>
    </w:p>
    <w:p w:rsidR="00F8545A" w:rsidRPr="00535C8E" w:rsidRDefault="00F31069">
      <w:pPr>
        <w:pStyle w:val="TM4"/>
        <w:tabs>
          <w:tab w:val="right" w:leader="dot" w:pos="9731"/>
        </w:tabs>
        <w:rPr>
          <w:rFonts w:ascii="Arial" w:hAnsi="Arial" w:cs="Arial"/>
        </w:rPr>
      </w:pPr>
      <w:hyperlink r:id="rId29" w:history="1">
        <w:r w:rsidRPr="00535C8E">
          <w:rPr>
            <w:rStyle w:val="Lienhypertexte"/>
            <w:rFonts w:ascii="Arial" w:eastAsia="Arial" w:hAnsi="Arial" w:cs="Arial"/>
          </w:rPr>
          <w:t>4.1.1.4 P</w:t>
        </w:r>
        <w:r w:rsidRPr="00535C8E">
          <w:rPr>
            <w:rStyle w:val="Lienhypertexte"/>
            <w:rFonts w:ascii="Arial" w:eastAsia="Arial" w:hAnsi="Arial" w:cs="Arial"/>
          </w:rPr>
          <w:t>CRS Mixte</w:t>
        </w:r>
        <w:r w:rsidRPr="00535C8E">
          <w:rPr>
            <w:rFonts w:ascii="Arial" w:hAnsi="Arial" w:cs="Arial"/>
          </w:rPr>
          <w:tab/>
          <w:t>12</w:t>
        </w:r>
      </w:hyperlink>
    </w:p>
    <w:p w:rsidR="00F8545A" w:rsidRPr="00535C8E" w:rsidRDefault="00F31069">
      <w:pPr>
        <w:pStyle w:val="TM3"/>
        <w:tabs>
          <w:tab w:val="left" w:pos="1857"/>
          <w:tab w:val="right" w:leader="dot" w:pos="9511"/>
        </w:tabs>
        <w:rPr>
          <w:rFonts w:ascii="Arial" w:hAnsi="Arial" w:cs="Arial"/>
        </w:rPr>
      </w:pPr>
      <w:hyperlink r:id="rId30" w:history="1">
        <w:r w:rsidRPr="00535C8E">
          <w:rPr>
            <w:rFonts w:ascii="Arial" w:hAnsi="Arial" w:cs="Arial"/>
          </w:rPr>
          <w:t>4.1.3</w:t>
        </w:r>
        <w:r w:rsidRPr="00535C8E">
          <w:rPr>
            <w:rFonts w:ascii="Arial" w:hAnsi="Arial" w:cs="Arial"/>
          </w:rPr>
          <w:tab/>
        </w:r>
        <w:r w:rsidRPr="00535C8E">
          <w:rPr>
            <w:rStyle w:val="Lienhypertexte"/>
            <w:rFonts w:ascii="Arial" w:hAnsi="Arial" w:cs="Arial"/>
          </w:rPr>
          <w:t>S’il n’y a pas de PCRS sur le territoire, que doit faire l'exploitant</w:t>
        </w:r>
        <w:r w:rsidRPr="00535C8E">
          <w:rPr>
            <w:rFonts w:ascii="Arial" w:hAnsi="Arial" w:cs="Arial"/>
          </w:rPr>
          <w:tab/>
          <w:t>13</w:t>
        </w:r>
      </w:hyperlink>
    </w:p>
    <w:p w:rsidR="00F8545A" w:rsidRPr="00535C8E" w:rsidRDefault="00F31069">
      <w:pPr>
        <w:pStyle w:val="TM2"/>
        <w:tabs>
          <w:tab w:val="left" w:pos="1070"/>
          <w:tab w:val="right" w:leader="dot" w:pos="9291"/>
        </w:tabs>
        <w:rPr>
          <w:rFonts w:ascii="Arial" w:hAnsi="Arial" w:cs="Arial"/>
        </w:rPr>
      </w:pPr>
      <w:hyperlink r:id="rId31" w:history="1">
        <w:r w:rsidRPr="00535C8E">
          <w:rPr>
            <w:rFonts w:ascii="Arial" w:eastAsia="Aptos Display" w:hAnsi="Arial" w:cs="Arial"/>
          </w:rPr>
          <w:t>4.2</w:t>
        </w:r>
        <w:r w:rsidRPr="00535C8E">
          <w:rPr>
            <w:rFonts w:ascii="Arial" w:hAnsi="Arial" w:cs="Arial"/>
          </w:rPr>
          <w:tab/>
        </w:r>
        <w:r w:rsidRPr="00535C8E">
          <w:rPr>
            <w:rStyle w:val="Lienhypertexte"/>
            <w:rFonts w:ascii="Arial" w:hAnsi="Arial" w:cs="Arial"/>
          </w:rPr>
          <w:t>Critères de conformité technique au terme "Disponible"</w:t>
        </w:r>
        <w:r w:rsidRPr="00535C8E">
          <w:rPr>
            <w:rFonts w:ascii="Arial" w:hAnsi="Arial" w:cs="Arial"/>
          </w:rPr>
          <w:tab/>
          <w:t>13</w:t>
        </w:r>
      </w:hyperlink>
    </w:p>
    <w:p w:rsidR="00F8545A" w:rsidRPr="00535C8E" w:rsidRDefault="00F31069">
      <w:pPr>
        <w:pStyle w:val="TM3"/>
        <w:tabs>
          <w:tab w:val="left" w:pos="1857"/>
          <w:tab w:val="right" w:leader="dot" w:pos="9511"/>
        </w:tabs>
        <w:rPr>
          <w:rFonts w:ascii="Arial" w:hAnsi="Arial" w:cs="Arial"/>
        </w:rPr>
      </w:pPr>
      <w:hyperlink r:id="rId32" w:history="1">
        <w:r w:rsidRPr="00535C8E">
          <w:rPr>
            <w:rFonts w:ascii="Arial" w:hAnsi="Arial" w:cs="Arial"/>
          </w:rPr>
          <w:t>4.2.1</w:t>
        </w:r>
        <w:r w:rsidRPr="00535C8E">
          <w:rPr>
            <w:rFonts w:ascii="Arial" w:hAnsi="Arial" w:cs="Arial"/>
          </w:rPr>
          <w:tab/>
        </w:r>
        <w:r w:rsidRPr="00535C8E">
          <w:rPr>
            <w:rStyle w:val="Lienhypertexte"/>
            <w:rFonts w:ascii="Arial" w:hAnsi="Arial" w:cs="Arial"/>
          </w:rPr>
          <w:t>Diffusion par flux</w:t>
        </w:r>
        <w:r w:rsidRPr="00535C8E">
          <w:rPr>
            <w:rFonts w:ascii="Arial" w:hAnsi="Arial" w:cs="Arial"/>
          </w:rPr>
          <w:tab/>
          <w:t>13</w:t>
        </w:r>
      </w:hyperlink>
    </w:p>
    <w:p w:rsidR="00F8545A" w:rsidRDefault="00F31069">
      <w:pPr>
        <w:pStyle w:val="TM3"/>
        <w:tabs>
          <w:tab w:val="left" w:pos="1857"/>
          <w:tab w:val="right" w:leader="dot" w:pos="9511"/>
        </w:tabs>
      </w:pPr>
      <w:hyperlink r:id="rId33" w:history="1">
        <w:r>
          <w:t>4.2.2</w:t>
        </w:r>
        <w:r>
          <w:tab/>
        </w:r>
        <w:r>
          <w:rPr>
            <w:rStyle w:val="Lienhypertexte"/>
          </w:rPr>
          <w:t>Téléchargement/Récupération physique des données</w:t>
        </w:r>
        <w:r>
          <w:tab/>
          <w:t>14</w:t>
        </w:r>
      </w:hyperlink>
    </w:p>
    <w:p w:rsidR="00F8545A" w:rsidRDefault="00F31069">
      <w:pPr>
        <w:pStyle w:val="TM1"/>
        <w:tabs>
          <w:tab w:val="right" w:leader="dot" w:pos="9071"/>
        </w:tabs>
      </w:pPr>
      <w:hyperlink r:id="rId34" w:history="1"/>
    </w:p>
    <w:p w:rsidR="00535C8E" w:rsidRDefault="00F31069" w:rsidP="00535C8E">
      <w:r>
        <w:fldChar w:fldCharType="end"/>
      </w:r>
    </w:p>
    <w:p w:rsidR="00535C8E" w:rsidRDefault="00535C8E">
      <w:r>
        <w:br w:type="page"/>
      </w:r>
    </w:p>
    <w:p w:rsidR="00F8545A" w:rsidRPr="00D218BE" w:rsidRDefault="00D218BE" w:rsidP="00535C8E">
      <w:pPr>
        <w:rPr>
          <w:rFonts w:ascii="Arial" w:hAnsi="Arial" w:cs="Arial"/>
          <w:b/>
        </w:rPr>
      </w:pPr>
      <w:r w:rsidRPr="00D218BE">
        <w:rPr>
          <w:rFonts w:ascii="Arial" w:hAnsi="Arial" w:cs="Arial"/>
          <w:b/>
        </w:rPr>
        <w:lastRenderedPageBreak/>
        <w:t>Contributeurs</w:t>
      </w:r>
    </w:p>
    <w:p w:rsidR="00D218BE" w:rsidRDefault="00D218BE" w:rsidP="00535C8E">
      <w:pPr>
        <w:rPr>
          <w:rFonts w:ascii="Arial" w:hAnsi="Arial" w:cs="Arial"/>
        </w:rPr>
      </w:pPr>
      <w:r w:rsidRPr="00D218BE">
        <w:rPr>
          <w:rFonts w:ascii="Arial" w:hAnsi="Arial" w:cs="Arial"/>
        </w:rPr>
        <w:t xml:space="preserve">Cette annexe a été produite dans le cadre du </w:t>
      </w:r>
      <w:r>
        <w:rPr>
          <w:rFonts w:ascii="Arial" w:hAnsi="Arial" w:cs="Arial"/>
        </w:rPr>
        <w:t>comité de coordination du PCRS</w:t>
      </w:r>
      <w:r w:rsidRPr="00D218BE">
        <w:rPr>
          <w:rFonts w:ascii="Arial" w:hAnsi="Arial" w:cs="Arial"/>
        </w:rPr>
        <w:t xml:space="preserve"> AFIGEO/CNIG</w:t>
      </w:r>
      <w:r>
        <w:rPr>
          <w:rFonts w:ascii="Arial" w:hAnsi="Arial" w:cs="Arial"/>
        </w:rPr>
        <w:t>, notamment son GT Accessibilité du PCRS</w:t>
      </w:r>
      <w:r>
        <w:rPr>
          <w:rStyle w:val="Appelnotedebasdep"/>
          <w:rFonts w:ascii="Arial" w:hAnsi="Arial" w:cs="Arial"/>
        </w:rPr>
        <w:footnoteReference w:id="1"/>
      </w:r>
      <w:r>
        <w:rPr>
          <w:rFonts w:ascii="Arial" w:hAnsi="Arial" w:cs="Arial"/>
        </w:rPr>
        <w:t>.</w:t>
      </w:r>
    </w:p>
    <w:p w:rsidR="00D218BE" w:rsidRPr="00D218BE" w:rsidRDefault="00D218BE" w:rsidP="00535C8E">
      <w:pPr>
        <w:rPr>
          <w:rFonts w:ascii="Arial" w:hAnsi="Arial" w:cs="Arial"/>
        </w:rPr>
      </w:pPr>
    </w:p>
    <w:p w:rsidR="00F8545A" w:rsidRPr="00535C8E" w:rsidRDefault="00F31069">
      <w:pPr>
        <w:pStyle w:val="Titre1"/>
        <w:numPr>
          <w:ilvl w:val="0"/>
          <w:numId w:val="8"/>
        </w:numPr>
        <w:rPr>
          <w:rFonts w:ascii="Arial" w:hAnsi="Arial" w:cs="Arial"/>
        </w:rPr>
      </w:pPr>
      <w:bookmarkStart w:id="0" w:name="_Toc2"/>
      <w:r w:rsidRPr="00535C8E">
        <w:rPr>
          <w:rFonts w:ascii="Arial" w:hAnsi="Arial" w:cs="Arial"/>
        </w:rPr>
        <w:t>Rappels sur le PCRS</w:t>
      </w:r>
      <w:bookmarkEnd w:id="0"/>
    </w:p>
    <w:p w:rsidR="00F8545A" w:rsidRPr="00535C8E" w:rsidRDefault="00F31069">
      <w:pPr>
        <w:jc w:val="both"/>
        <w:rPr>
          <w:rFonts w:ascii="Arial" w:hAnsi="Arial" w:cs="Arial"/>
        </w:rPr>
      </w:pPr>
      <w:r w:rsidRPr="00535C8E">
        <w:rPr>
          <w:rFonts w:ascii="Arial" w:hAnsi="Arial" w:cs="Arial"/>
        </w:rPr>
        <w:t xml:space="preserve">Le plan corps de rue simplifié (PCRS) a été introduit dans l’article 7 de </w:t>
      </w:r>
      <w:hyperlink r:id="rId35" w:history="1">
        <w:r w:rsidR="00535C8E" w:rsidRPr="00535C8E">
          <w:rPr>
            <w:rStyle w:val="Lienhypertexte"/>
            <w:rFonts w:ascii="Arial" w:hAnsi="Arial" w:cs="Arial"/>
          </w:rPr>
          <w:t>l’arrêté du 15 février 2012 modifié</w:t>
        </w:r>
      </w:hyperlink>
      <w:r w:rsidR="00535C8E" w:rsidRPr="00535C8E">
        <w:rPr>
          <w:rStyle w:val="Lienhypertexte"/>
          <w:rFonts w:ascii="Arial" w:hAnsi="Arial" w:cs="Arial"/>
        </w:rPr>
        <w:t xml:space="preserve"> </w:t>
      </w:r>
      <w:r w:rsidR="00535C8E" w:rsidRPr="00535C8E">
        <w:rPr>
          <w:rFonts w:ascii="Arial" w:hAnsi="Arial" w:cs="Arial"/>
        </w:rPr>
        <w:t>d</w:t>
      </w:r>
      <w:r w:rsidRPr="00535C8E">
        <w:rPr>
          <w:rFonts w:ascii="Arial" w:hAnsi="Arial" w:cs="Arial"/>
        </w:rPr>
        <w:t>ans le cadre de la réglementation anti-endommagement des réseaux.</w:t>
      </w:r>
    </w:p>
    <w:p w:rsidR="00F8545A" w:rsidRPr="00535C8E" w:rsidRDefault="00F31069">
      <w:pPr>
        <w:jc w:val="both"/>
        <w:rPr>
          <w:rFonts w:ascii="Arial" w:hAnsi="Arial" w:cs="Arial"/>
        </w:rPr>
      </w:pPr>
      <w:r w:rsidRPr="00535C8E">
        <w:rPr>
          <w:rFonts w:ascii="Arial" w:hAnsi="Arial" w:cs="Arial"/>
        </w:rPr>
        <w:t>La réglementation prévoit ainsi que les exploitants, pour les plans joints aux récépissés de DT/DICT/ATU, utilisent le mêm</w:t>
      </w:r>
      <w:r w:rsidRPr="00535C8E">
        <w:rPr>
          <w:rFonts w:ascii="Arial" w:hAnsi="Arial" w:cs="Arial"/>
        </w:rPr>
        <w:t>e fond de plan.</w:t>
      </w:r>
    </w:p>
    <w:p w:rsidR="00F8545A" w:rsidRPr="00535C8E" w:rsidRDefault="00F31069">
      <w:pPr>
        <w:rPr>
          <w:rFonts w:ascii="Arial" w:hAnsi="Arial" w:cs="Arial"/>
          <w:i/>
        </w:rPr>
      </w:pPr>
      <w:r w:rsidRPr="00535C8E">
        <w:rPr>
          <w:rFonts w:ascii="Arial" w:hAnsi="Arial" w:cs="Arial"/>
          <w:i/>
        </w:rPr>
        <w:t xml:space="preserve">Extrait : </w:t>
      </w:r>
      <w:r w:rsidRPr="00535C8E">
        <w:rPr>
          <w:rFonts w:ascii="Arial" w:eastAsia="Arial" w:hAnsi="Arial" w:cs="Arial"/>
          <w:i/>
          <w:color w:val="000000"/>
          <w:sz w:val="21"/>
          <w:shd w:val="clear" w:color="auto" w:fill="FFFFFF"/>
        </w:rPr>
        <w:t>Le fond de plan employé pour la transmission des données de localisation des réseaux aux déclarants est le meilleur lever régulier à grande échelle disponible, établi et mis à jour par l'autorité publique locale compétente en conf</w:t>
      </w:r>
      <w:r w:rsidRPr="00535C8E">
        <w:rPr>
          <w:rFonts w:ascii="Arial" w:eastAsia="Arial" w:hAnsi="Arial" w:cs="Arial"/>
          <w:i/>
          <w:color w:val="000000"/>
          <w:sz w:val="21"/>
          <w:shd w:val="clear" w:color="auto" w:fill="FFFFFF"/>
        </w:rPr>
        <w:t>ormité avec les articles L. 127-1 et suivants du code de l'environnement et selon le format d'échange PCRS (plan corps de rue simplifié) établi et mis à jour par le Conseil national de l'information géolocalisée ;</w:t>
      </w:r>
    </w:p>
    <w:p w:rsidR="00F8545A" w:rsidRPr="00535C8E" w:rsidRDefault="00F31069">
      <w:pPr>
        <w:rPr>
          <w:rFonts w:ascii="Arial" w:hAnsi="Arial" w:cs="Arial"/>
        </w:rPr>
      </w:pPr>
      <w:r w:rsidRPr="00535C8E">
        <w:rPr>
          <w:rFonts w:ascii="Arial" w:hAnsi="Arial" w:cs="Arial"/>
        </w:rPr>
        <w:t>Le Conseil national pour l’information géo</w:t>
      </w:r>
      <w:r w:rsidRPr="00535C8E">
        <w:rPr>
          <w:rFonts w:ascii="Arial" w:hAnsi="Arial" w:cs="Arial"/>
        </w:rPr>
        <w:t>localisée a produit un standard d’échange pour ces PCRS</w:t>
      </w:r>
      <w:r w:rsidRPr="00535C8E">
        <w:rPr>
          <w:rStyle w:val="Appelnotedebasdep"/>
          <w:rFonts w:ascii="Arial" w:hAnsi="Arial" w:cs="Arial"/>
        </w:rPr>
        <w:footnoteReference w:id="2"/>
      </w:r>
      <w:r w:rsidRPr="00535C8E">
        <w:rPr>
          <w:rFonts w:ascii="Arial" w:hAnsi="Arial" w:cs="Arial"/>
        </w:rPr>
        <w:t xml:space="preserve"> </w:t>
      </w:r>
      <w:hyperlink r:id="rId36" w:history="1">
        <w:r w:rsidRPr="00535C8E">
          <w:rPr>
            <w:rStyle w:val="Lienhypertexte"/>
            <w:rFonts w:ascii="Arial" w:hAnsi="Arial" w:cs="Arial"/>
          </w:rPr>
          <w:t>.</w:t>
        </w:r>
      </w:hyperlink>
      <w:r w:rsidRPr="00535C8E">
        <w:rPr>
          <w:rFonts w:ascii="Arial" w:hAnsi="Arial" w:cs="Arial"/>
        </w:rPr>
        <w:t xml:space="preserve"> Des annexes et document</w:t>
      </w:r>
      <w:r w:rsidRPr="00535C8E">
        <w:rPr>
          <w:rFonts w:ascii="Arial" w:hAnsi="Arial" w:cs="Arial"/>
        </w:rPr>
        <w:t>s produits par le groupe de travail national sont par ailleurs disponibles sur le site du CNIG</w:t>
      </w:r>
      <w:r w:rsidRPr="00535C8E">
        <w:rPr>
          <w:rStyle w:val="Appelnotedebasdep"/>
          <w:rFonts w:ascii="Arial" w:hAnsi="Arial" w:cs="Arial"/>
        </w:rPr>
        <w:footnoteReference w:id="3"/>
      </w:r>
      <w:r w:rsidRPr="00535C8E">
        <w:rPr>
          <w:rFonts w:ascii="Arial" w:hAnsi="Arial" w:cs="Arial"/>
        </w:rPr>
        <w:t>.</w:t>
      </w:r>
    </w:p>
    <w:p w:rsidR="00F8545A" w:rsidRPr="00535C8E" w:rsidRDefault="00F31069">
      <w:pPr>
        <w:rPr>
          <w:rFonts w:ascii="Arial" w:hAnsi="Arial" w:cs="Arial"/>
          <w:i/>
        </w:rPr>
      </w:pPr>
      <w:r w:rsidRPr="00535C8E">
        <w:rPr>
          <w:rFonts w:ascii="Arial" w:hAnsi="Arial" w:cs="Arial"/>
          <w:i/>
        </w:rPr>
        <w:t xml:space="preserve">NB : attention à ne pas confondre avec le StaR-DT, standard d’échange pour les réseaux d’application non réglementaire </w:t>
      </w:r>
      <w:r w:rsidRPr="00535C8E">
        <w:rPr>
          <w:rFonts w:ascii="Arial" w:hAnsi="Arial" w:cs="Arial"/>
          <w:i/>
        </w:rPr>
        <w:br/>
      </w:r>
      <w:hyperlink r:id="rId37" w:history="1">
        <w:r w:rsidRPr="00535C8E">
          <w:rPr>
            <w:rStyle w:val="Lienhypertexte"/>
            <w:rFonts w:ascii="Arial" w:hAnsi="Arial" w:cs="Arial"/>
            <w:i/>
          </w:rPr>
          <w:t>https://cnig.gouv.fr/IMG/documents_wordp</w:t>
        </w:r>
        <w:r w:rsidRPr="00535C8E">
          <w:rPr>
            <w:rStyle w:val="Lienhypertexte"/>
            <w:rFonts w:ascii="Arial" w:hAnsi="Arial" w:cs="Arial"/>
            <w:i/>
          </w:rPr>
          <w:t>ress/2019/11/CNIG_STAR-DT_v1.0.pdf</w:t>
        </w:r>
      </w:hyperlink>
    </w:p>
    <w:p w:rsidR="00F8545A" w:rsidRDefault="00F8545A"/>
    <w:p w:rsidR="00F8545A" w:rsidRPr="00535C8E" w:rsidRDefault="00F31069" w:rsidP="00535C8E">
      <w:pPr>
        <w:pStyle w:val="Titre1"/>
        <w:numPr>
          <w:ilvl w:val="0"/>
          <w:numId w:val="8"/>
        </w:numPr>
        <w:rPr>
          <w:rFonts w:ascii="Arial" w:hAnsi="Arial" w:cs="Arial"/>
        </w:rPr>
      </w:pPr>
      <w:bookmarkStart w:id="1" w:name="_Toc3"/>
      <w:r w:rsidRPr="00535C8E">
        <w:rPr>
          <w:rFonts w:ascii="Arial" w:hAnsi="Arial" w:cs="Arial"/>
        </w:rPr>
        <w:t>Objectifs de ce document</w:t>
      </w:r>
      <w:bookmarkEnd w:id="1"/>
    </w:p>
    <w:p w:rsidR="00F8545A" w:rsidRPr="00535C8E" w:rsidRDefault="00F31069">
      <w:pPr>
        <w:spacing w:line="276" w:lineRule="atLeast"/>
        <w:jc w:val="both"/>
        <w:rPr>
          <w:rFonts w:ascii="Arial" w:eastAsia="Arial" w:hAnsi="Arial" w:cs="Arial"/>
          <w:color w:val="000000"/>
        </w:rPr>
      </w:pPr>
      <w:r>
        <w:rPr>
          <w:rFonts w:ascii="Arial" w:eastAsia="Arial" w:hAnsi="Arial" w:cs="Arial"/>
          <w:color w:val="000000"/>
        </w:rPr>
        <w:t xml:space="preserve">La réglementation et les guides d’application ne contiennent pas les définitions des termes : « meilleur », « disponible », « mis à jour », « Autorité Publique Locale Compétente », tels </w:t>
      </w:r>
      <w:r>
        <w:rPr>
          <w:rFonts w:ascii="Arial" w:eastAsia="Arial" w:hAnsi="Arial" w:cs="Arial"/>
          <w:color w:val="000000"/>
        </w:rPr>
        <w:t>qu’utilisés dans cet article 7 de l’arrêté du 15/02/2012 modifié.</w:t>
      </w:r>
    </w:p>
    <w:p w:rsidR="00F8545A" w:rsidRPr="00535C8E" w:rsidRDefault="00F31069">
      <w:pPr>
        <w:spacing w:line="276" w:lineRule="atLeast"/>
        <w:jc w:val="both"/>
        <w:rPr>
          <w:rFonts w:ascii="Arial" w:eastAsia="Arial" w:hAnsi="Arial" w:cs="Arial"/>
          <w:color w:val="000000"/>
        </w:rPr>
      </w:pPr>
      <w:r>
        <w:rPr>
          <w:rFonts w:ascii="Arial" w:eastAsia="Arial" w:hAnsi="Arial" w:cs="Arial"/>
          <w:color w:val="000000"/>
        </w:rPr>
        <w:t xml:space="preserve">L’objet de ce document est de préciser ces termes nécessaires à une utilisation </w:t>
      </w:r>
      <w:r w:rsidRPr="00535C8E">
        <w:rPr>
          <w:rFonts w:ascii="Arial" w:eastAsia="Arial" w:hAnsi="Arial" w:cs="Arial"/>
          <w:color w:val="000000"/>
        </w:rPr>
        <w:t>généralisé</w:t>
      </w:r>
      <w:r>
        <w:rPr>
          <w:rFonts w:ascii="Arial" w:eastAsia="Arial" w:hAnsi="Arial" w:cs="Arial"/>
          <w:color w:val="000000"/>
        </w:rPr>
        <w:t>e</w:t>
      </w:r>
      <w:r w:rsidRPr="00535C8E">
        <w:rPr>
          <w:rFonts w:ascii="Arial" w:eastAsia="Arial" w:hAnsi="Arial" w:cs="Arial"/>
          <w:color w:val="000000"/>
        </w:rPr>
        <w:t xml:space="preserve"> des PCRS sur le territoire dans des modalités équitables pour toutes les parties</w:t>
      </w:r>
      <w:r>
        <w:rPr>
          <w:rFonts w:ascii="Arial" w:eastAsia="Arial" w:hAnsi="Arial" w:cs="Arial"/>
          <w:color w:val="000000"/>
        </w:rPr>
        <w:t>.</w:t>
      </w:r>
    </w:p>
    <w:p w:rsidR="00F8545A" w:rsidRPr="00535C8E" w:rsidRDefault="00F31069">
      <w:pPr>
        <w:spacing w:line="276" w:lineRule="atLeast"/>
        <w:jc w:val="both"/>
        <w:rPr>
          <w:rFonts w:ascii="Arial" w:eastAsia="Arial" w:hAnsi="Arial" w:cs="Arial"/>
          <w:color w:val="000000"/>
        </w:rPr>
      </w:pPr>
      <w:r>
        <w:rPr>
          <w:rFonts w:ascii="Arial" w:eastAsia="Arial" w:hAnsi="Arial" w:cs="Arial"/>
          <w:color w:val="000000"/>
        </w:rPr>
        <w:t>Les critères éno</w:t>
      </w:r>
      <w:r>
        <w:rPr>
          <w:rFonts w:ascii="Arial" w:eastAsia="Arial" w:hAnsi="Arial" w:cs="Arial"/>
          <w:color w:val="000000"/>
        </w:rPr>
        <w:t>ncés ci-après se veulent les plus objectifs possibles et ont fait l’objet d’un consensus entre représentants des différents acteurs.</w:t>
      </w:r>
    </w:p>
    <w:p w:rsidR="00F8545A" w:rsidRPr="00535C8E" w:rsidRDefault="00F31069">
      <w:pPr>
        <w:spacing w:line="276" w:lineRule="atLeast"/>
        <w:jc w:val="both"/>
        <w:rPr>
          <w:rFonts w:ascii="Arial" w:eastAsia="Arial" w:hAnsi="Arial" w:cs="Arial"/>
          <w:color w:val="000000"/>
        </w:rPr>
      </w:pPr>
      <w:r>
        <w:rPr>
          <w:rFonts w:ascii="Arial" w:eastAsia="Arial" w:hAnsi="Arial" w:cs="Arial"/>
          <w:color w:val="000000"/>
        </w:rPr>
        <w:t>Le présent document</w:t>
      </w:r>
      <w:r w:rsidRPr="00535C8E">
        <w:rPr>
          <w:rFonts w:ascii="Arial" w:eastAsia="Arial" w:hAnsi="Arial" w:cs="Arial"/>
          <w:color w:val="000000"/>
        </w:rPr>
        <w:t xml:space="preserve"> explicite</w:t>
      </w:r>
      <w:r>
        <w:rPr>
          <w:rFonts w:ascii="Arial" w:eastAsia="Arial" w:hAnsi="Arial" w:cs="Arial"/>
          <w:color w:val="000000"/>
        </w:rPr>
        <w:t xml:space="preserve"> ainsi :</w:t>
      </w:r>
    </w:p>
    <w:p w:rsidR="00F8545A" w:rsidRPr="00535C8E" w:rsidRDefault="00F31069">
      <w:pPr>
        <w:numPr>
          <w:ilvl w:val="0"/>
          <w:numId w:val="47"/>
        </w:numPr>
        <w:spacing w:line="276" w:lineRule="atLeast"/>
        <w:jc w:val="both"/>
        <w:rPr>
          <w:rFonts w:ascii="Arial" w:eastAsia="Arial" w:hAnsi="Arial" w:cs="Arial"/>
          <w:color w:val="000000"/>
        </w:rPr>
      </w:pPr>
      <w:r>
        <w:rPr>
          <w:rFonts w:ascii="Arial" w:eastAsia="Arial" w:hAnsi="Arial" w:cs="Arial"/>
          <w:color w:val="000000"/>
        </w:rPr>
        <w:t xml:space="preserve">D’une part </w:t>
      </w:r>
      <w:r w:rsidRPr="00535C8E">
        <w:rPr>
          <w:rFonts w:ascii="Arial" w:eastAsia="Arial" w:hAnsi="Arial" w:cs="Arial"/>
          <w:color w:val="000000"/>
        </w:rPr>
        <w:t xml:space="preserve">les conditions à remplir par les APLC (Autorités Publiques locales </w:t>
      </w:r>
      <w:r w:rsidRPr="00535C8E">
        <w:rPr>
          <w:rFonts w:ascii="Arial" w:eastAsia="Arial" w:hAnsi="Arial" w:cs="Arial"/>
          <w:color w:val="000000"/>
        </w:rPr>
        <w:lastRenderedPageBreak/>
        <w:t>Compéte</w:t>
      </w:r>
      <w:r w:rsidRPr="00535C8E">
        <w:rPr>
          <w:rFonts w:ascii="Arial" w:eastAsia="Arial" w:hAnsi="Arial" w:cs="Arial"/>
          <w:color w:val="000000"/>
        </w:rPr>
        <w:t>ntes) afin que les exploitants de réseaux puissent satisfaire à leurs obligations ;</w:t>
      </w:r>
    </w:p>
    <w:p w:rsidR="00F8545A" w:rsidRDefault="00F31069">
      <w:pPr>
        <w:numPr>
          <w:ilvl w:val="1"/>
          <w:numId w:val="47"/>
        </w:numPr>
        <w:spacing w:line="276" w:lineRule="atLeast"/>
        <w:jc w:val="both"/>
      </w:pPr>
      <w:r>
        <w:rPr>
          <w:rFonts w:ascii="Arial" w:eastAsia="Arial" w:hAnsi="Arial" w:cs="Arial"/>
          <w:color w:val="000000"/>
        </w:rPr>
        <w:t>D’autre part les dispositions à prendre par les exploitants de réseaux afin de respecter l’obligation d’usage du PCRS en réponse aux DT-DICT.</w:t>
      </w:r>
    </w:p>
    <w:p w:rsidR="00F8545A" w:rsidRDefault="00F31069">
      <w:pPr>
        <w:spacing w:line="276" w:lineRule="atLeast"/>
        <w:jc w:val="both"/>
        <w:rPr>
          <w:rFonts w:ascii="Arial" w:eastAsia="Arial" w:hAnsi="Arial" w:cs="Arial"/>
          <w:color w:val="000000"/>
        </w:rPr>
      </w:pPr>
      <w:r>
        <w:rPr>
          <w:rFonts w:ascii="Arial" w:eastAsia="Arial" w:hAnsi="Arial" w:cs="Arial"/>
          <w:color w:val="000000"/>
        </w:rPr>
        <w:t>Les statuts des projets sur le</w:t>
      </w:r>
      <w:r>
        <w:rPr>
          <w:rFonts w:ascii="Arial" w:eastAsia="Arial" w:hAnsi="Arial" w:cs="Arial"/>
          <w:color w:val="000000"/>
        </w:rPr>
        <w:t xml:space="preserve"> suivi géographique </w:t>
      </w:r>
      <w:hyperlink r:id="rId38" w:history="1">
        <w:r>
          <w:rPr>
            <w:rStyle w:val="Lienhypertexte"/>
            <w:rFonts w:ascii="Arial" w:eastAsia="Arial" w:hAnsi="Arial" w:cs="Arial"/>
          </w:rPr>
          <w:t>pcrs.beta.gouv.fr</w:t>
        </w:r>
      </w:hyperlink>
      <w:r>
        <w:rPr>
          <w:rFonts w:ascii="Arial" w:eastAsia="Arial" w:hAnsi="Arial" w:cs="Arial"/>
          <w:color w:val="000000"/>
        </w:rPr>
        <w:t xml:space="preserve"> ne répondent pas actuellement aux critères de disponibilité énoncés dans le présent document. Par exemple, un PCRS « publié » sur la cartographie, n’est pas nécessaire « disp</w:t>
      </w:r>
      <w:r>
        <w:rPr>
          <w:rFonts w:ascii="Arial" w:eastAsia="Arial" w:hAnsi="Arial" w:cs="Arial"/>
          <w:color w:val="000000"/>
        </w:rPr>
        <w:t>onible » au sens où on l’entend ici.</w:t>
      </w:r>
    </w:p>
    <w:p w:rsidR="00F8545A" w:rsidRDefault="00F31069">
      <w:pPr>
        <w:spacing w:line="276" w:lineRule="atLeast"/>
        <w:jc w:val="both"/>
      </w:pPr>
      <w:r>
        <w:rPr>
          <w:rFonts w:ascii="Arial" w:eastAsia="Arial" w:hAnsi="Arial" w:cs="Arial"/>
          <w:color w:val="000000"/>
        </w:rPr>
        <w:t>Les représentants de l’Observatoire National DT-DICT ont ainsi publié un logigramme synthétique des actions à mener et des critères de disponibilité et d’usage des PCRS</w:t>
      </w:r>
      <w:r>
        <w:rPr>
          <w:rStyle w:val="Appelnotedebasdep"/>
          <w:rFonts w:ascii="Arial" w:eastAsia="Arial" w:hAnsi="Arial" w:cs="Arial"/>
          <w:color w:val="000000"/>
        </w:rPr>
        <w:footnoteReference w:id="4"/>
      </w:r>
      <w:r>
        <w:rPr>
          <w:rFonts w:ascii="Arial" w:eastAsia="Arial" w:hAnsi="Arial" w:cs="Arial"/>
          <w:color w:val="000000"/>
        </w:rPr>
        <w:t>. Le présent document précise notamment ses dispositions.</w:t>
      </w:r>
    </w:p>
    <w:p w:rsidR="00F8545A" w:rsidRPr="00535C8E" w:rsidRDefault="00F31069">
      <w:pPr>
        <w:pStyle w:val="Titre1"/>
        <w:numPr>
          <w:ilvl w:val="0"/>
          <w:numId w:val="8"/>
        </w:numPr>
        <w:rPr>
          <w:rFonts w:ascii="Arial" w:hAnsi="Arial" w:cs="Arial"/>
        </w:rPr>
      </w:pPr>
      <w:bookmarkStart w:id="2" w:name="_Toc4"/>
      <w:r w:rsidRPr="00535C8E">
        <w:rPr>
          <w:rFonts w:ascii="Arial" w:hAnsi="Arial" w:cs="Arial"/>
        </w:rPr>
        <w:t>Repères organisationnels</w:t>
      </w:r>
      <w:bookmarkEnd w:id="2"/>
    </w:p>
    <w:p w:rsidR="00F8545A" w:rsidRPr="00535C8E" w:rsidRDefault="00F31069">
      <w:pPr>
        <w:pStyle w:val="Titre2"/>
        <w:numPr>
          <w:ilvl w:val="1"/>
          <w:numId w:val="8"/>
        </w:numPr>
        <w:rPr>
          <w:rFonts w:ascii="Arial" w:hAnsi="Arial" w:cs="Arial"/>
        </w:rPr>
      </w:pPr>
      <w:bookmarkStart w:id="3" w:name="_Toc5"/>
      <w:r w:rsidRPr="00535C8E">
        <w:rPr>
          <w:rFonts w:ascii="Arial" w:hAnsi="Arial" w:cs="Arial"/>
        </w:rPr>
        <w:t>Statut de la collectivité</w:t>
      </w:r>
      <w:bookmarkEnd w:id="3"/>
    </w:p>
    <w:p w:rsidR="00F8545A" w:rsidRPr="00535C8E" w:rsidRDefault="00F31069">
      <w:pPr>
        <w:pStyle w:val="Titre3"/>
        <w:numPr>
          <w:ilvl w:val="2"/>
          <w:numId w:val="8"/>
        </w:numPr>
        <w:rPr>
          <w:rFonts w:ascii="Arial" w:hAnsi="Arial" w:cs="Arial"/>
        </w:rPr>
      </w:pPr>
      <w:bookmarkStart w:id="4" w:name="_Toc6"/>
      <w:r w:rsidRPr="00535C8E">
        <w:rPr>
          <w:rFonts w:ascii="Arial" w:hAnsi="Arial" w:cs="Arial"/>
        </w:rPr>
        <w:t>Déclaration du statut APLC</w:t>
      </w:r>
      <w:bookmarkEnd w:id="4"/>
    </w:p>
    <w:p w:rsidR="00F8545A" w:rsidRPr="00535C8E" w:rsidRDefault="00F31069" w:rsidP="00535C8E">
      <w:pPr>
        <w:pStyle w:val="Paragraphedeliste"/>
        <w:numPr>
          <w:ilvl w:val="0"/>
          <w:numId w:val="69"/>
        </w:numPr>
        <w:rPr>
          <w:rFonts w:ascii="Arial" w:hAnsi="Arial" w:cs="Arial"/>
          <w:b/>
        </w:rPr>
      </w:pPr>
      <w:r w:rsidRPr="00535C8E">
        <w:rPr>
          <w:rFonts w:ascii="Arial" w:hAnsi="Arial" w:cs="Arial"/>
          <w:b/>
        </w:rPr>
        <w:t>Modalités de déclaration du statut d’APLC</w:t>
      </w:r>
      <w:r w:rsidRPr="00535C8E">
        <w:rPr>
          <w:rStyle w:val="Appelnotedebasdep"/>
          <w:rFonts w:ascii="Arial" w:hAnsi="Arial" w:cs="Arial"/>
          <w:b/>
        </w:rPr>
        <w:footnoteReference w:id="5"/>
      </w:r>
    </w:p>
    <w:p w:rsidR="00F8545A" w:rsidRPr="00535C8E" w:rsidRDefault="00F31069">
      <w:pPr>
        <w:spacing w:line="276" w:lineRule="atLeast"/>
        <w:jc w:val="both"/>
        <w:rPr>
          <w:rFonts w:ascii="Arial" w:hAnsi="Arial" w:cs="Arial"/>
        </w:rPr>
      </w:pPr>
      <w:r w:rsidRPr="00535C8E">
        <w:rPr>
          <w:rFonts w:ascii="Arial" w:eastAsia="Arial" w:hAnsi="Arial" w:cs="Arial"/>
          <w:color w:val="000000"/>
        </w:rPr>
        <w:t>La réglementation n’encadre pas précisément les modalités de déclaration du statut d’APLC. Si celles-ci diffèrent selon les porteurs de projets, on peut noter des modali</w:t>
      </w:r>
      <w:r w:rsidRPr="00535C8E">
        <w:rPr>
          <w:rFonts w:ascii="Arial" w:eastAsia="Arial" w:hAnsi="Arial" w:cs="Arial"/>
          <w:color w:val="000000"/>
        </w:rPr>
        <w:t>tés de déclarations communes à de nombreuses structures :</w:t>
      </w:r>
    </w:p>
    <w:p w:rsidR="00F8545A" w:rsidRPr="00535C8E" w:rsidRDefault="00F31069">
      <w:pPr>
        <w:numPr>
          <w:ilvl w:val="0"/>
          <w:numId w:val="58"/>
        </w:numPr>
        <w:tabs>
          <w:tab w:val="left" w:pos="2725"/>
        </w:tabs>
        <w:spacing w:line="276" w:lineRule="atLeast"/>
        <w:rPr>
          <w:rFonts w:ascii="Arial" w:hAnsi="Arial" w:cs="Arial"/>
        </w:rPr>
      </w:pPr>
      <w:r w:rsidRPr="00535C8E">
        <w:rPr>
          <w:rFonts w:ascii="Arial" w:eastAsia="Arial" w:hAnsi="Arial" w:cs="Arial"/>
          <w:color w:val="000000"/>
        </w:rPr>
        <w:t>Décision administrative prise par les instances de l’organisation (conseil syndical…) ;</w:t>
      </w:r>
      <w:r w:rsidRPr="00535C8E">
        <w:rPr>
          <w:rFonts w:ascii="Arial" w:hAnsi="Arial" w:cs="Arial"/>
        </w:rPr>
        <w:tab/>
      </w:r>
    </w:p>
    <w:p w:rsidR="00F8545A" w:rsidRPr="00535C8E" w:rsidRDefault="00F31069">
      <w:pPr>
        <w:numPr>
          <w:ilvl w:val="0"/>
          <w:numId w:val="58"/>
        </w:numPr>
        <w:spacing w:line="276" w:lineRule="atLeast"/>
        <w:rPr>
          <w:rFonts w:ascii="Arial" w:hAnsi="Arial" w:cs="Arial"/>
        </w:rPr>
      </w:pPr>
      <w:r w:rsidRPr="00535C8E">
        <w:rPr>
          <w:rFonts w:ascii="Arial" w:eastAsia="Arial" w:hAnsi="Arial" w:cs="Arial"/>
          <w:color w:val="000000"/>
        </w:rPr>
        <w:t>Modification des statuts de la structure ;</w:t>
      </w:r>
    </w:p>
    <w:p w:rsidR="00F8545A" w:rsidRPr="00535C8E" w:rsidRDefault="00F31069">
      <w:pPr>
        <w:numPr>
          <w:ilvl w:val="0"/>
          <w:numId w:val="58"/>
        </w:numPr>
        <w:spacing w:line="276" w:lineRule="atLeast"/>
        <w:rPr>
          <w:rFonts w:ascii="Arial" w:hAnsi="Arial" w:cs="Arial"/>
        </w:rPr>
      </w:pPr>
      <w:r w:rsidRPr="00535C8E">
        <w:rPr>
          <w:rFonts w:ascii="Arial" w:eastAsia="Arial" w:hAnsi="Arial" w:cs="Arial"/>
          <w:color w:val="000000"/>
        </w:rPr>
        <w:t xml:space="preserve">Document soumis au contrôle de légalité et enregistré en </w:t>
      </w:r>
      <w:r w:rsidRPr="00535C8E">
        <w:rPr>
          <w:rFonts w:ascii="Arial" w:eastAsia="Arial" w:hAnsi="Arial" w:cs="Arial"/>
          <w:color w:val="000000"/>
        </w:rPr>
        <w:t>préfecture ;</w:t>
      </w:r>
    </w:p>
    <w:p w:rsidR="00F8545A" w:rsidRPr="00535C8E" w:rsidRDefault="00F31069">
      <w:pPr>
        <w:numPr>
          <w:ilvl w:val="0"/>
          <w:numId w:val="58"/>
        </w:numPr>
        <w:spacing w:line="276" w:lineRule="atLeast"/>
        <w:rPr>
          <w:rFonts w:ascii="Arial" w:hAnsi="Arial" w:cs="Arial"/>
        </w:rPr>
      </w:pPr>
      <w:r w:rsidRPr="00535C8E">
        <w:rPr>
          <w:rFonts w:ascii="Arial" w:eastAsia="Arial" w:hAnsi="Arial" w:cs="Arial"/>
          <w:color w:val="000000"/>
        </w:rPr>
        <w:t>Signature d’une convention cadre (précisant le statut d’APLC) avec l’ensemble des partenaires</w:t>
      </w:r>
      <w:r w:rsidRPr="00535C8E">
        <w:rPr>
          <w:rFonts w:ascii="Arial" w:eastAsia="Arial" w:hAnsi="Arial" w:cs="Arial"/>
          <w:b/>
          <w:i/>
        </w:rPr>
        <w:t>.</w:t>
      </w:r>
    </w:p>
    <w:p w:rsidR="00F8545A" w:rsidRPr="00535C8E" w:rsidRDefault="00F31069">
      <w:pPr>
        <w:spacing w:line="276" w:lineRule="atLeast"/>
        <w:jc w:val="both"/>
        <w:rPr>
          <w:rFonts w:ascii="Arial" w:eastAsia="Arial" w:hAnsi="Arial" w:cs="Arial"/>
          <w:color w:val="000000"/>
        </w:rPr>
      </w:pPr>
      <w:r w:rsidRPr="00535C8E">
        <w:rPr>
          <w:rFonts w:ascii="Arial" w:eastAsia="Arial" w:hAnsi="Arial" w:cs="Arial"/>
          <w:color w:val="000000"/>
        </w:rPr>
        <w:t xml:space="preserve">La </w:t>
      </w:r>
      <w:hyperlink r:id="rId39" w:history="1">
        <w:r w:rsidRPr="00535C8E">
          <w:rPr>
            <w:rStyle w:val="Lienhypertexte"/>
            <w:rFonts w:ascii="Arial" w:eastAsia="Arial" w:hAnsi="Arial" w:cs="Arial"/>
          </w:rPr>
          <w:t>carte de suivi national</w:t>
        </w:r>
      </w:hyperlink>
      <w:r w:rsidRPr="00535C8E">
        <w:rPr>
          <w:rFonts w:ascii="Arial" w:eastAsia="Arial" w:hAnsi="Arial" w:cs="Arial"/>
          <w:color w:val="000000"/>
        </w:rPr>
        <w:t xml:space="preserve"> des PCRS précise pour chaque porteur de projet si la structure est </w:t>
      </w:r>
      <w:r w:rsidRPr="00535C8E">
        <w:rPr>
          <w:rFonts w:ascii="Arial" w:eastAsia="Arial" w:hAnsi="Arial" w:cs="Arial"/>
          <w:color w:val="000000"/>
        </w:rPr>
        <w:t xml:space="preserve">déclarée APLC ou bien si la structure porte le projet. </w:t>
      </w:r>
    </w:p>
    <w:p w:rsidR="00F8545A" w:rsidRPr="00535C8E" w:rsidRDefault="00F31069">
      <w:pPr>
        <w:spacing w:line="276" w:lineRule="atLeast"/>
        <w:jc w:val="both"/>
        <w:rPr>
          <w:rFonts w:ascii="Arial" w:eastAsia="Arial" w:hAnsi="Arial" w:cs="Arial"/>
          <w:color w:val="000000"/>
        </w:rPr>
      </w:pPr>
      <w:r w:rsidRPr="00535C8E">
        <w:rPr>
          <w:rFonts w:ascii="Arial" w:eastAsia="Arial" w:hAnsi="Arial" w:cs="Arial"/>
          <w:color w:val="000000"/>
        </w:rPr>
        <w:t>Ainsi, un porteur de projet peut se charger de lancer un projet et de le mettre en œuvre sans réaliser les démarches administratives lui permettant d’être qualifié d’APLC, ni forcément réaliser l’ense</w:t>
      </w:r>
      <w:r w:rsidRPr="00535C8E">
        <w:rPr>
          <w:rFonts w:ascii="Arial" w:eastAsia="Arial" w:hAnsi="Arial" w:cs="Arial"/>
          <w:color w:val="000000"/>
        </w:rPr>
        <w:t>mble des actions attendues de la part d’une APLC.</w:t>
      </w:r>
    </w:p>
    <w:p w:rsidR="00F8545A" w:rsidRPr="00535C8E" w:rsidRDefault="00F31069" w:rsidP="00535C8E">
      <w:pPr>
        <w:pStyle w:val="Paragraphedeliste"/>
        <w:numPr>
          <w:ilvl w:val="0"/>
          <w:numId w:val="69"/>
        </w:numPr>
        <w:rPr>
          <w:rFonts w:ascii="Arial" w:hAnsi="Arial" w:cs="Arial"/>
          <w:b/>
        </w:rPr>
      </w:pPr>
      <w:r w:rsidRPr="00535C8E">
        <w:rPr>
          <w:rFonts w:ascii="Arial" w:hAnsi="Arial" w:cs="Arial"/>
          <w:b/>
        </w:rPr>
        <w:t>Périmètre géographique du PCRS porté par l’APLC</w:t>
      </w:r>
    </w:p>
    <w:p w:rsidR="00F8545A" w:rsidRPr="00535C8E" w:rsidRDefault="00F31069">
      <w:pPr>
        <w:numPr>
          <w:ilvl w:val="0"/>
          <w:numId w:val="60"/>
        </w:numPr>
        <w:spacing w:line="276" w:lineRule="atLeast"/>
        <w:jc w:val="both"/>
        <w:rPr>
          <w:rFonts w:ascii="Arial" w:hAnsi="Arial" w:cs="Arial"/>
        </w:rPr>
      </w:pPr>
      <w:r w:rsidRPr="00535C8E">
        <w:rPr>
          <w:rFonts w:ascii="Arial" w:eastAsia="Arial" w:hAnsi="Arial" w:cs="Arial"/>
          <w:color w:val="000000"/>
        </w:rPr>
        <w:t>Le périmètre géographique d’un projet peut être différent du périmètre géographique de l’APLC qui le porte.</w:t>
      </w:r>
    </w:p>
    <w:p w:rsidR="00F8545A" w:rsidRPr="00535C8E" w:rsidRDefault="00F31069">
      <w:pPr>
        <w:numPr>
          <w:ilvl w:val="1"/>
          <w:numId w:val="60"/>
        </w:numPr>
        <w:spacing w:line="276" w:lineRule="atLeast"/>
        <w:jc w:val="both"/>
        <w:rPr>
          <w:rFonts w:ascii="Arial" w:hAnsi="Arial" w:cs="Arial"/>
        </w:rPr>
      </w:pPr>
      <w:r w:rsidRPr="00535C8E">
        <w:rPr>
          <w:rFonts w:ascii="Arial" w:eastAsia="Arial" w:hAnsi="Arial" w:cs="Arial"/>
          <w:color w:val="000000"/>
        </w:rPr>
        <w:t>À titre d’exemple, une agglomération déclarée comm</w:t>
      </w:r>
      <w:r w:rsidRPr="00535C8E">
        <w:rPr>
          <w:rFonts w:ascii="Arial" w:eastAsia="Arial" w:hAnsi="Arial" w:cs="Arial"/>
          <w:color w:val="000000"/>
        </w:rPr>
        <w:t xml:space="preserve">e APLC peut porter un projet qui intègre des communes qui ne sont pas adhérentes à </w:t>
      </w:r>
      <w:r w:rsidRPr="00535C8E">
        <w:rPr>
          <w:rFonts w:ascii="Arial" w:eastAsia="Arial" w:hAnsi="Arial" w:cs="Arial"/>
          <w:color w:val="000000"/>
        </w:rPr>
        <w:lastRenderedPageBreak/>
        <w:t>l’agglomération.</w:t>
      </w:r>
    </w:p>
    <w:p w:rsidR="00F8545A" w:rsidRPr="00535C8E" w:rsidRDefault="00F31069">
      <w:pPr>
        <w:numPr>
          <w:ilvl w:val="0"/>
          <w:numId w:val="60"/>
        </w:numPr>
        <w:spacing w:line="276" w:lineRule="atLeast"/>
        <w:jc w:val="both"/>
        <w:rPr>
          <w:rFonts w:ascii="Arial" w:eastAsia="Arial" w:hAnsi="Arial" w:cs="Arial"/>
          <w:color w:val="000000"/>
        </w:rPr>
      </w:pPr>
      <w:r w:rsidRPr="00535C8E">
        <w:rPr>
          <w:rFonts w:ascii="Arial" w:eastAsia="Arial" w:hAnsi="Arial" w:cs="Arial"/>
          <w:color w:val="000000"/>
        </w:rPr>
        <w:t>Le périmètre géographique du projet est généralement précisé dans la convention de partenariat.</w:t>
      </w:r>
    </w:p>
    <w:p w:rsidR="00F8545A" w:rsidRPr="00535C8E" w:rsidRDefault="00F31069">
      <w:pPr>
        <w:numPr>
          <w:ilvl w:val="0"/>
          <w:numId w:val="60"/>
        </w:numPr>
        <w:spacing w:line="276" w:lineRule="atLeast"/>
        <w:jc w:val="both"/>
        <w:rPr>
          <w:rFonts w:ascii="Arial" w:hAnsi="Arial" w:cs="Arial"/>
        </w:rPr>
      </w:pPr>
      <w:r w:rsidRPr="00535C8E">
        <w:rPr>
          <w:rFonts w:ascii="Arial" w:hAnsi="Arial" w:cs="Arial"/>
        </w:rPr>
        <w:t xml:space="preserve">Il ne peut y avoir qu’un seul fond de plan PCRS (raster, </w:t>
      </w:r>
      <w:r w:rsidRPr="00535C8E">
        <w:rPr>
          <w:rFonts w:ascii="Arial" w:hAnsi="Arial" w:cs="Arial"/>
        </w:rPr>
        <w:t>vecteur ou mixte) en un endroit donné.</w:t>
      </w:r>
    </w:p>
    <w:p w:rsidR="00F8545A" w:rsidRPr="00535C8E" w:rsidRDefault="00F31069">
      <w:pPr>
        <w:numPr>
          <w:ilvl w:val="1"/>
          <w:numId w:val="60"/>
        </w:numPr>
        <w:spacing w:line="276" w:lineRule="atLeast"/>
        <w:jc w:val="both"/>
        <w:rPr>
          <w:rFonts w:ascii="Arial" w:hAnsi="Arial" w:cs="Arial"/>
        </w:rPr>
      </w:pPr>
      <w:r w:rsidRPr="00535C8E">
        <w:rPr>
          <w:rFonts w:ascii="Arial" w:hAnsi="Arial" w:cs="Arial"/>
        </w:rPr>
        <w:t>Le PCRS peut le cas échéant résulter de fonds de plans complémentaires provenant de 2 entités (cas des EPCI ou communes gérant un fond de plan vecteur dans un département couvert en raster). Dans ce cas, les différen</w:t>
      </w:r>
      <w:r w:rsidRPr="00535C8E">
        <w:rPr>
          <w:rFonts w:ascii="Arial" w:hAnsi="Arial" w:cs="Arial"/>
        </w:rPr>
        <w:t xml:space="preserve">tes entités doivent convenir d’une organisation permettant la cohérence des jeux de données complémentaires (cf. </w:t>
      </w:r>
      <w:r w:rsidRPr="00535C8E">
        <w:rPr>
          <w:rFonts w:ascii="Arial" w:hAnsi="Arial" w:cs="Arial"/>
        </w:rPr>
        <w:fldChar w:fldCharType="begin"/>
      </w:r>
      <w:r w:rsidRPr="00535C8E">
        <w:rPr>
          <w:rFonts w:ascii="Arial" w:hAnsi="Arial" w:cs="Arial"/>
        </w:rPr>
        <w:instrText xml:space="preserve"> REF _Ref184300987 </w:instrText>
      </w:r>
      <w:r w:rsidR="00535C8E">
        <w:rPr>
          <w:rFonts w:ascii="Arial" w:hAnsi="Arial" w:cs="Arial"/>
        </w:rPr>
        <w:instrText xml:space="preserve"> \* MERGEFORMAT </w:instrText>
      </w:r>
      <w:r w:rsidRPr="00535C8E">
        <w:rPr>
          <w:rFonts w:ascii="Arial" w:hAnsi="Arial" w:cs="Arial"/>
        </w:rPr>
        <w:fldChar w:fldCharType="separate"/>
      </w:r>
      <w:r w:rsidRPr="00535C8E">
        <w:rPr>
          <w:rFonts w:ascii="Arial" w:hAnsi="Arial" w:cs="Arial"/>
        </w:rPr>
        <w:t>4.1.2 Nature du PCRS</w:t>
      </w:r>
      <w:r w:rsidRPr="00535C8E">
        <w:rPr>
          <w:rFonts w:ascii="Arial" w:hAnsi="Arial" w:cs="Arial"/>
        </w:rPr>
        <w:fldChar w:fldCharType="end"/>
      </w:r>
      <w:r w:rsidRPr="00535C8E">
        <w:rPr>
          <w:rFonts w:ascii="Arial" w:hAnsi="Arial" w:cs="Arial"/>
        </w:rPr>
        <w:t>).</w:t>
      </w:r>
    </w:p>
    <w:p w:rsidR="00F8545A" w:rsidRPr="00535C8E" w:rsidRDefault="00F31069">
      <w:pPr>
        <w:numPr>
          <w:ilvl w:val="1"/>
          <w:numId w:val="60"/>
        </w:numPr>
        <w:spacing w:line="276" w:lineRule="atLeast"/>
        <w:jc w:val="both"/>
        <w:rPr>
          <w:rFonts w:ascii="Arial" w:hAnsi="Arial" w:cs="Arial"/>
        </w:rPr>
      </w:pPr>
      <w:r w:rsidRPr="00535C8E">
        <w:rPr>
          <w:rFonts w:ascii="Arial" w:hAnsi="Arial" w:cs="Arial"/>
        </w:rPr>
        <w:t>S’il existe déjà une APLC sur le territoire, une nouvelle entité qui souhaiterait devenir APLC peu</w:t>
      </w:r>
      <w:r w:rsidRPr="00535C8E">
        <w:rPr>
          <w:rFonts w:ascii="Arial" w:hAnsi="Arial" w:cs="Arial"/>
        </w:rPr>
        <w:t>t se rapprocher de l’existante pour rechercher des modalités de collaboration ou récupérer l’historique avant la passation des missions afin d’assurer une continuité.</w:t>
      </w:r>
    </w:p>
    <w:p w:rsidR="00F8545A" w:rsidRPr="00535C8E" w:rsidRDefault="00F31069">
      <w:pPr>
        <w:numPr>
          <w:ilvl w:val="0"/>
          <w:numId w:val="60"/>
        </w:numPr>
        <w:spacing w:line="276" w:lineRule="atLeast"/>
        <w:jc w:val="both"/>
        <w:rPr>
          <w:rFonts w:ascii="Arial" w:hAnsi="Arial" w:cs="Arial"/>
        </w:rPr>
      </w:pPr>
      <w:r w:rsidRPr="00535C8E">
        <w:rPr>
          <w:rFonts w:ascii="Arial" w:hAnsi="Arial" w:cs="Arial"/>
        </w:rPr>
        <w:t xml:space="preserve">Le statut d’APLC permet notamment d'accéder aux données du Guichet Unique pour faciliter </w:t>
      </w:r>
      <w:r w:rsidRPr="00535C8E">
        <w:rPr>
          <w:rFonts w:ascii="Arial" w:hAnsi="Arial" w:cs="Arial"/>
        </w:rPr>
        <w:t>la gestion des mises à jour, en fournissant la liste des déclarations de travaux dans lesquelles il est indiqué un impact sur les limites de voirie.</w:t>
      </w:r>
    </w:p>
    <w:p w:rsidR="00F8545A" w:rsidRPr="00535C8E" w:rsidRDefault="00F31069">
      <w:pPr>
        <w:pStyle w:val="Titre3"/>
        <w:numPr>
          <w:ilvl w:val="2"/>
          <w:numId w:val="8"/>
        </w:numPr>
        <w:rPr>
          <w:rFonts w:ascii="Arial" w:hAnsi="Arial" w:cs="Arial"/>
        </w:rPr>
      </w:pPr>
      <w:bookmarkStart w:id="5" w:name="_Toc7"/>
      <w:r w:rsidRPr="00535C8E">
        <w:rPr>
          <w:rFonts w:ascii="Arial" w:hAnsi="Arial" w:cs="Arial"/>
        </w:rPr>
        <w:t>Fin du statut APLC</w:t>
      </w:r>
      <w:bookmarkEnd w:id="5"/>
    </w:p>
    <w:p w:rsidR="00F8545A" w:rsidRPr="00535C8E" w:rsidRDefault="00F31069">
      <w:pPr>
        <w:rPr>
          <w:rFonts w:ascii="Arial" w:hAnsi="Arial" w:cs="Arial"/>
        </w:rPr>
      </w:pPr>
      <w:r w:rsidRPr="00535C8E">
        <w:rPr>
          <w:rFonts w:ascii="Arial" w:hAnsi="Arial" w:cs="Arial"/>
        </w:rPr>
        <w:t>Lorsque l'entité ne réalise plus ses missions dans les faits ;</w:t>
      </w:r>
    </w:p>
    <w:p w:rsidR="00F8545A" w:rsidRPr="00535C8E" w:rsidRDefault="00F31069">
      <w:pPr>
        <w:rPr>
          <w:rFonts w:ascii="Arial" w:hAnsi="Arial" w:cs="Arial"/>
        </w:rPr>
      </w:pPr>
      <w:r w:rsidRPr="00535C8E">
        <w:rPr>
          <w:rFonts w:ascii="Arial" w:hAnsi="Arial" w:cs="Arial"/>
        </w:rPr>
        <w:t>Lorsqu'une autre entité a</w:t>
      </w:r>
      <w:r w:rsidRPr="00535C8E">
        <w:rPr>
          <w:rFonts w:ascii="Arial" w:hAnsi="Arial" w:cs="Arial"/>
        </w:rPr>
        <w:t xml:space="preserve"> pris le relais (une</w:t>
      </w:r>
      <w:r w:rsidRPr="00535C8E">
        <w:rPr>
          <w:rFonts w:ascii="Arial" w:eastAsia="Arial" w:hAnsi="Arial" w:cs="Arial"/>
          <w:color w:val="000000"/>
        </w:rPr>
        <w:t xml:space="preserve"> décision administrative est prise en conséquence par les instances de l’organisation).</w:t>
      </w:r>
    </w:p>
    <w:p w:rsidR="00F8545A" w:rsidRPr="00535C8E" w:rsidRDefault="00F31069">
      <w:pPr>
        <w:pStyle w:val="Titre3"/>
        <w:numPr>
          <w:ilvl w:val="2"/>
          <w:numId w:val="8"/>
        </w:numPr>
        <w:rPr>
          <w:rFonts w:ascii="Arial" w:hAnsi="Arial" w:cs="Arial"/>
        </w:rPr>
      </w:pPr>
      <w:bookmarkStart w:id="6" w:name="_Ref184300986"/>
      <w:bookmarkStart w:id="7" w:name="_Toc8"/>
      <w:r w:rsidRPr="00535C8E">
        <w:rPr>
          <w:rFonts w:ascii="Arial" w:hAnsi="Arial" w:cs="Arial"/>
        </w:rPr>
        <w:t>Médiation du projet</w:t>
      </w:r>
      <w:bookmarkEnd w:id="6"/>
      <w:bookmarkEnd w:id="7"/>
    </w:p>
    <w:p w:rsidR="00F8545A" w:rsidRPr="00535C8E" w:rsidRDefault="00F31069">
      <w:pPr>
        <w:jc w:val="both"/>
        <w:rPr>
          <w:rFonts w:ascii="Arial" w:hAnsi="Arial" w:cs="Arial"/>
        </w:rPr>
      </w:pPr>
      <w:r w:rsidRPr="00535C8E">
        <w:rPr>
          <w:rFonts w:ascii="Arial" w:hAnsi="Arial" w:cs="Arial"/>
        </w:rPr>
        <w:t>Les APLC créent leur projet et mettent à jour les données relatives à ce projet sur la carte de suivi nationale</w:t>
      </w:r>
      <w:r w:rsidRPr="00535C8E">
        <w:rPr>
          <w:rStyle w:val="Appelnotedebasdep"/>
          <w:rFonts w:ascii="Arial" w:hAnsi="Arial" w:cs="Arial"/>
        </w:rPr>
        <w:footnoteReference w:id="6"/>
      </w:r>
      <w:r w:rsidRPr="00535C8E">
        <w:rPr>
          <w:rFonts w:ascii="Arial" w:hAnsi="Arial" w:cs="Arial"/>
        </w:rPr>
        <w:t xml:space="preserve"> afin que toutes les données soient accessibles à l’ensemble des communautés et acteurs.</w:t>
      </w:r>
      <w:r w:rsidRPr="00535C8E">
        <w:rPr>
          <w:rFonts w:ascii="Arial" w:eastAsia="Arial" w:hAnsi="Arial" w:cs="Arial"/>
          <w:color w:val="000000"/>
        </w:rPr>
        <w:t xml:space="preserve"> Les projets peuvent y être cartographiés à différentes échelles territoriales (régionale, dé</w:t>
      </w:r>
      <w:r w:rsidRPr="00535C8E">
        <w:rPr>
          <w:rFonts w:ascii="Arial" w:eastAsia="Arial" w:hAnsi="Arial" w:cs="Arial"/>
          <w:color w:val="000000"/>
        </w:rPr>
        <w:t>partementale, EPCI, communale).</w:t>
      </w:r>
    </w:p>
    <w:p w:rsidR="00F8545A" w:rsidRPr="00535C8E" w:rsidRDefault="00F31069">
      <w:pPr>
        <w:pStyle w:val="Paragraphedeliste"/>
        <w:numPr>
          <w:ilvl w:val="0"/>
          <w:numId w:val="62"/>
        </w:numPr>
        <w:jc w:val="both"/>
        <w:rPr>
          <w:rFonts w:ascii="Arial" w:hAnsi="Arial" w:cs="Arial"/>
        </w:rPr>
      </w:pPr>
      <w:r w:rsidRPr="00535C8E">
        <w:rPr>
          <w:rFonts w:ascii="Arial" w:hAnsi="Arial" w:cs="Arial"/>
        </w:rPr>
        <w:t xml:space="preserve">La demande de création d’un projet ou du lien d’accès au lien du projet se fait via l’adresse : </w:t>
      </w:r>
      <w:hyperlink r:id="rId40" w:history="1">
        <w:r w:rsidRPr="00535C8E">
          <w:rPr>
            <w:rStyle w:val="Lienhypertexte"/>
            <w:rFonts w:ascii="Arial" w:hAnsi="Arial" w:cs="Arial"/>
          </w:rPr>
          <w:t>contact@pcrs.beta.gouv.fr</w:t>
        </w:r>
      </w:hyperlink>
    </w:p>
    <w:p w:rsidR="00F8545A" w:rsidRPr="00535C8E" w:rsidRDefault="00F31069">
      <w:pPr>
        <w:pStyle w:val="Paragraphedeliste"/>
        <w:numPr>
          <w:ilvl w:val="0"/>
          <w:numId w:val="62"/>
        </w:numPr>
        <w:jc w:val="both"/>
        <w:rPr>
          <w:rFonts w:ascii="Arial" w:hAnsi="Arial" w:cs="Arial"/>
        </w:rPr>
      </w:pPr>
      <w:r w:rsidRPr="00535C8E">
        <w:rPr>
          <w:rFonts w:ascii="Arial" w:hAnsi="Arial" w:cs="Arial"/>
        </w:rPr>
        <w:t>Notice de création du projet :</w:t>
      </w:r>
    </w:p>
    <w:p w:rsidR="00F8545A" w:rsidRPr="00535C8E" w:rsidRDefault="00F31069">
      <w:pPr>
        <w:ind w:firstLine="708"/>
        <w:jc w:val="both"/>
        <w:rPr>
          <w:rFonts w:ascii="Arial" w:hAnsi="Arial" w:cs="Arial"/>
          <w:sz w:val="22"/>
        </w:rPr>
      </w:pPr>
      <w:hyperlink r:id="rId41" w:history="1">
        <w:r w:rsidRPr="00535C8E">
          <w:rPr>
            <w:rStyle w:val="Lienhypertexte"/>
            <w:rFonts w:ascii="Arial" w:hAnsi="Arial" w:cs="Arial"/>
            <w:sz w:val="22"/>
          </w:rPr>
          <w:t>https://docs.pcrs.beta.gouv.fr/suivi-des-projets/edition-des-donnees#creer-un-projet</w:t>
        </w:r>
      </w:hyperlink>
    </w:p>
    <w:p w:rsidR="00F8545A" w:rsidRPr="00535C8E" w:rsidRDefault="00F31069">
      <w:pPr>
        <w:jc w:val="both"/>
        <w:rPr>
          <w:rFonts w:ascii="Arial" w:hAnsi="Arial" w:cs="Arial"/>
        </w:rPr>
      </w:pPr>
      <w:r w:rsidRPr="00535C8E">
        <w:rPr>
          <w:rFonts w:ascii="Arial" w:hAnsi="Arial" w:cs="Arial"/>
        </w:rPr>
        <w:t>Lorsque le PCRS est produit et contrôlé, les APLC ont la possibilité de</w:t>
      </w:r>
      <w:r w:rsidRPr="00535C8E">
        <w:rPr>
          <w:rFonts w:ascii="Arial" w:hAnsi="Arial" w:cs="Arial"/>
        </w:rPr>
        <w:t xml:space="preserve"> le publier sur la carte de suivi nationale.</w:t>
      </w:r>
    </w:p>
    <w:p w:rsidR="00F8545A" w:rsidRPr="00535C8E" w:rsidRDefault="00F31069">
      <w:pPr>
        <w:pStyle w:val="Paragraphedeliste"/>
        <w:numPr>
          <w:ilvl w:val="0"/>
          <w:numId w:val="63"/>
        </w:numPr>
        <w:jc w:val="both"/>
        <w:rPr>
          <w:rFonts w:ascii="Arial" w:hAnsi="Arial" w:cs="Arial"/>
        </w:rPr>
      </w:pPr>
      <w:r w:rsidRPr="00535C8E">
        <w:rPr>
          <w:rFonts w:ascii="Arial" w:hAnsi="Arial" w:cs="Arial"/>
        </w:rPr>
        <w:t xml:space="preserve">Notice de stockage du PCRS : </w:t>
      </w:r>
      <w:hyperlink r:id="rId42" w:history="1">
        <w:r w:rsidRPr="00535C8E">
          <w:rPr>
            <w:rStyle w:val="Lienhypertexte"/>
            <w:rFonts w:ascii="Arial" w:hAnsi="Arial" w:cs="Arial"/>
          </w:rPr>
          <w:t>https://docs.pcrs.beta.gouv.fr/suivi-des-projets/publication-des-livrables</w:t>
        </w:r>
      </w:hyperlink>
    </w:p>
    <w:p w:rsidR="00F8545A" w:rsidRPr="00535C8E" w:rsidRDefault="00F31069">
      <w:pPr>
        <w:jc w:val="both"/>
        <w:rPr>
          <w:rFonts w:ascii="Arial" w:hAnsi="Arial" w:cs="Arial"/>
        </w:rPr>
      </w:pPr>
      <w:r w:rsidRPr="00535C8E">
        <w:rPr>
          <w:rFonts w:ascii="Arial" w:hAnsi="Arial" w:cs="Arial"/>
        </w:rPr>
        <w:t>Le renseignemen</w:t>
      </w:r>
      <w:r w:rsidRPr="00535C8E">
        <w:rPr>
          <w:rFonts w:ascii="Arial" w:hAnsi="Arial" w:cs="Arial"/>
        </w:rPr>
        <w:t xml:space="preserve">t des paramètres techniques des flux (URL et ressource) sur la cartographie de suivi nationale permet l’agrégation des flux par la Géoplateforme IGN </w:t>
      </w:r>
      <w:r w:rsidRPr="00535C8E">
        <w:rPr>
          <w:rFonts w:ascii="Arial" w:hAnsi="Arial" w:cs="Arial"/>
        </w:rPr>
        <w:lastRenderedPageBreak/>
        <w:t xml:space="preserve">(cf. 4.2.1 </w:t>
      </w:r>
      <w:r w:rsidRPr="00535C8E">
        <w:rPr>
          <w:rFonts w:ascii="Arial" w:hAnsi="Arial" w:cs="Arial"/>
        </w:rPr>
        <w:fldChar w:fldCharType="begin"/>
      </w:r>
      <w:r w:rsidRPr="00535C8E">
        <w:rPr>
          <w:rFonts w:ascii="Arial" w:hAnsi="Arial" w:cs="Arial"/>
        </w:rPr>
        <w:instrText xml:space="preserve"> REF _Ref184300988 </w:instrText>
      </w:r>
      <w:r w:rsidR="00535C8E">
        <w:rPr>
          <w:rFonts w:ascii="Arial" w:hAnsi="Arial" w:cs="Arial"/>
        </w:rPr>
        <w:instrText xml:space="preserve"> \* MERGEFORMAT </w:instrText>
      </w:r>
      <w:r w:rsidRPr="00535C8E">
        <w:rPr>
          <w:rFonts w:ascii="Arial" w:hAnsi="Arial" w:cs="Arial"/>
        </w:rPr>
        <w:fldChar w:fldCharType="separate"/>
      </w:r>
      <w:r w:rsidRPr="00535C8E">
        <w:rPr>
          <w:rFonts w:ascii="Arial" w:hAnsi="Arial" w:cs="Arial"/>
        </w:rPr>
        <w:t>Diffusion par flux</w:t>
      </w:r>
      <w:r w:rsidRPr="00535C8E">
        <w:rPr>
          <w:rFonts w:ascii="Arial" w:hAnsi="Arial" w:cs="Arial"/>
        </w:rPr>
        <w:fldChar w:fldCharType="end"/>
      </w:r>
      <w:r w:rsidRPr="00535C8E">
        <w:rPr>
          <w:rFonts w:ascii="Arial" w:hAnsi="Arial" w:cs="Arial"/>
        </w:rPr>
        <w:t>).</w:t>
      </w:r>
    </w:p>
    <w:p w:rsidR="00F8545A" w:rsidRPr="00535C8E" w:rsidRDefault="00F8545A">
      <w:pPr>
        <w:pStyle w:val="Titre2"/>
        <w:rPr>
          <w:rFonts w:ascii="Arial" w:eastAsia="aptos" w:hAnsi="Arial" w:cs="Arial"/>
          <w:color w:val="auto"/>
          <w:sz w:val="24"/>
        </w:rPr>
      </w:pPr>
    </w:p>
    <w:p w:rsidR="00F8545A" w:rsidRPr="00535C8E" w:rsidRDefault="00F31069">
      <w:pPr>
        <w:pStyle w:val="Titre2"/>
        <w:numPr>
          <w:ilvl w:val="1"/>
          <w:numId w:val="8"/>
        </w:numPr>
        <w:rPr>
          <w:rFonts w:ascii="Arial" w:hAnsi="Arial" w:cs="Arial"/>
        </w:rPr>
      </w:pPr>
      <w:bookmarkStart w:id="8" w:name="_Toc9"/>
      <w:r w:rsidRPr="00535C8E">
        <w:rPr>
          <w:rFonts w:ascii="Arial" w:hAnsi="Arial" w:cs="Arial"/>
        </w:rPr>
        <w:t>Disponibilité</w:t>
      </w:r>
      <w:r w:rsidRPr="00535C8E">
        <w:rPr>
          <w:rFonts w:ascii="Arial" w:hAnsi="Arial" w:cs="Arial"/>
        </w:rPr>
        <w:t xml:space="preserve"> de la donnée</w:t>
      </w:r>
      <w:bookmarkEnd w:id="8"/>
    </w:p>
    <w:p w:rsidR="00F8545A" w:rsidRPr="00535C8E" w:rsidRDefault="00F31069">
      <w:pPr>
        <w:pStyle w:val="Titre3"/>
        <w:numPr>
          <w:ilvl w:val="2"/>
          <w:numId w:val="8"/>
        </w:numPr>
        <w:rPr>
          <w:rFonts w:ascii="Arial" w:hAnsi="Arial" w:cs="Arial"/>
        </w:rPr>
      </w:pPr>
      <w:bookmarkStart w:id="9" w:name="_Toc10"/>
      <w:r w:rsidRPr="00535C8E">
        <w:rPr>
          <w:rFonts w:ascii="Arial" w:hAnsi="Arial" w:cs="Arial"/>
        </w:rPr>
        <w:t>Le PCRS est librement accessible</w:t>
      </w:r>
      <w:bookmarkEnd w:id="9"/>
    </w:p>
    <w:p w:rsidR="00F8545A" w:rsidRPr="00535C8E" w:rsidRDefault="00F31069">
      <w:pPr>
        <w:ind w:left="708"/>
        <w:jc w:val="both"/>
        <w:rPr>
          <w:rFonts w:ascii="Arial" w:hAnsi="Arial" w:cs="Arial"/>
        </w:rPr>
      </w:pPr>
      <w:r w:rsidRPr="00535C8E">
        <w:rPr>
          <w:rFonts w:ascii="Arial" w:hAnsi="Arial" w:cs="Arial"/>
        </w:rPr>
        <w:t>Si l’APLC a fait le choix de diffuser librement les données du PCRS, cette diffusion peut se révéler être de 2 natures différentes (et possiblement complémentaires).</w:t>
      </w:r>
    </w:p>
    <w:p w:rsidR="00F8545A" w:rsidRPr="00535C8E" w:rsidRDefault="00F31069">
      <w:pPr>
        <w:pStyle w:val="Paragraphedeliste"/>
        <w:numPr>
          <w:ilvl w:val="0"/>
          <w:numId w:val="41"/>
        </w:numPr>
        <w:jc w:val="both"/>
        <w:rPr>
          <w:rFonts w:ascii="Arial" w:hAnsi="Arial" w:cs="Arial"/>
        </w:rPr>
      </w:pPr>
      <w:r w:rsidRPr="00535C8E">
        <w:rPr>
          <w:rFonts w:ascii="Arial" w:hAnsi="Arial" w:cs="Arial"/>
        </w:rPr>
        <w:t>Un accès en téléchargement : c’est le mini</w:t>
      </w:r>
      <w:r w:rsidRPr="00535C8E">
        <w:rPr>
          <w:rFonts w:ascii="Arial" w:hAnsi="Arial" w:cs="Arial"/>
        </w:rPr>
        <w:t>mum exigé par la législation</w:t>
      </w:r>
      <w:r w:rsidRPr="00535C8E">
        <w:rPr>
          <w:rStyle w:val="Appelnotedebasdep"/>
          <w:rFonts w:ascii="Arial" w:hAnsi="Arial" w:cs="Arial"/>
        </w:rPr>
        <w:footnoteReference w:id="7"/>
      </w:r>
      <w:r w:rsidRPr="00535C8E">
        <w:rPr>
          <w:rFonts w:ascii="Arial" w:hAnsi="Arial" w:cs="Arial"/>
        </w:rPr>
        <w:t xml:space="preserve"> au sens d’une publication de la base de données. L’</w:t>
      </w:r>
      <w:r w:rsidRPr="00535C8E">
        <w:rPr>
          <w:rFonts w:ascii="Arial" w:hAnsi="Arial" w:cs="Arial"/>
        </w:rPr>
        <w:t>APLC rend disponible en téléchargement les données du PCRS.</w:t>
      </w:r>
    </w:p>
    <w:p w:rsidR="00F8545A" w:rsidRPr="00535C8E" w:rsidRDefault="00F8545A">
      <w:pPr>
        <w:spacing w:after="0"/>
        <w:jc w:val="both"/>
        <w:rPr>
          <w:rFonts w:ascii="Arial" w:hAnsi="Arial" w:cs="Arial"/>
        </w:rPr>
      </w:pPr>
    </w:p>
    <w:p w:rsidR="00F8545A" w:rsidRPr="00535C8E" w:rsidRDefault="00F31069">
      <w:pPr>
        <w:pStyle w:val="Paragraphedeliste"/>
        <w:numPr>
          <w:ilvl w:val="0"/>
          <w:numId w:val="41"/>
        </w:numPr>
        <w:jc w:val="both"/>
        <w:rPr>
          <w:rFonts w:ascii="Arial" w:hAnsi="Arial" w:cs="Arial"/>
        </w:rPr>
      </w:pPr>
      <w:r w:rsidRPr="00535C8E">
        <w:rPr>
          <w:rFonts w:ascii="Arial" w:hAnsi="Arial" w:cs="Arial"/>
        </w:rPr>
        <w:t xml:space="preserve">Un accès en flux : l’APLC fait le choix d’une diffusion des données sous la forme d’un flux. Les données sont alors stockées et diffusées par un serveur cartographique. Les services web obtenus </w:t>
      </w:r>
      <w:r w:rsidRPr="00535C8E">
        <w:rPr>
          <w:rFonts w:ascii="Arial" w:hAnsi="Arial" w:cs="Arial"/>
        </w:rPr>
        <w:t>(WMS, WFS et WMTS) respectent des standards internationaux (notamment OGC) permettant ainsi d'assurer une interopérabilité entre applications et serveurs de données.</w:t>
      </w:r>
    </w:p>
    <w:p w:rsidR="00F8545A" w:rsidRPr="00535C8E" w:rsidRDefault="00F8545A">
      <w:pPr>
        <w:rPr>
          <w:rFonts w:ascii="Arial" w:hAnsi="Arial" w:cs="Arial"/>
        </w:rPr>
      </w:pPr>
    </w:p>
    <w:p w:rsidR="00F8545A" w:rsidRPr="00535C8E" w:rsidRDefault="00F31069">
      <w:pPr>
        <w:pStyle w:val="Titre3"/>
        <w:numPr>
          <w:ilvl w:val="2"/>
          <w:numId w:val="8"/>
        </w:numPr>
        <w:rPr>
          <w:rFonts w:ascii="Arial" w:hAnsi="Arial" w:cs="Arial"/>
        </w:rPr>
      </w:pPr>
      <w:bookmarkStart w:id="10" w:name="_Toc11"/>
      <w:r w:rsidRPr="00535C8E">
        <w:rPr>
          <w:rFonts w:ascii="Arial" w:hAnsi="Arial" w:cs="Arial"/>
        </w:rPr>
        <w:t>Le PCRS est en accès restreint</w:t>
      </w:r>
      <w:bookmarkEnd w:id="10"/>
    </w:p>
    <w:p w:rsidR="00F8545A" w:rsidRPr="00535C8E" w:rsidRDefault="00F31069">
      <w:pPr>
        <w:ind w:left="708"/>
        <w:jc w:val="both"/>
        <w:rPr>
          <w:rFonts w:ascii="Arial" w:hAnsi="Arial" w:cs="Arial"/>
        </w:rPr>
      </w:pPr>
      <w:r w:rsidRPr="00535C8E">
        <w:rPr>
          <w:rFonts w:ascii="Arial" w:hAnsi="Arial" w:cs="Arial"/>
        </w:rPr>
        <w:t>Si l’APLC a fait le choix de restreindre l’accès aux don</w:t>
      </w:r>
      <w:r w:rsidRPr="00535C8E">
        <w:rPr>
          <w:rFonts w:ascii="Arial" w:hAnsi="Arial" w:cs="Arial"/>
        </w:rPr>
        <w:t>nées du PCRS, il faudra dans ce cas prendre attache de l’APLC pour discuter des modalités d’accès possible au PCRS. Deux modalités principales semblent envisageables :</w:t>
      </w:r>
    </w:p>
    <w:p w:rsidR="00F8545A" w:rsidRDefault="00F8545A">
      <w:pPr>
        <w:spacing w:after="0"/>
        <w:ind w:left="708"/>
        <w:jc w:val="both"/>
      </w:pPr>
    </w:p>
    <w:p w:rsidR="00F8545A" w:rsidRPr="00535C8E" w:rsidRDefault="00F31069">
      <w:pPr>
        <w:pStyle w:val="Paragraphedeliste"/>
        <w:numPr>
          <w:ilvl w:val="0"/>
          <w:numId w:val="42"/>
        </w:numPr>
        <w:jc w:val="both"/>
        <w:rPr>
          <w:rFonts w:ascii="Arial" w:hAnsi="Arial" w:cs="Arial"/>
        </w:rPr>
      </w:pPr>
      <w:r w:rsidRPr="00535C8E">
        <w:rPr>
          <w:rFonts w:ascii="Arial" w:hAnsi="Arial" w:cs="Arial"/>
        </w:rPr>
        <w:t xml:space="preserve">Devenir ayant-droit en propre du PCRS : il s’agit de contractualiser avec l’APLC pour </w:t>
      </w:r>
      <w:r w:rsidRPr="00535C8E">
        <w:rPr>
          <w:rFonts w:ascii="Arial" w:hAnsi="Arial" w:cs="Arial"/>
        </w:rPr>
        <w:t>définir un mode d’accès et une potentielle contribution financière. Plusieurs formes sont possibles, que ce soit en devenant un financeur de la donnée au même titre que les financeurs initiaux, via une licence d’accès temporaire ou via un calcul lié à la c</w:t>
      </w:r>
      <w:r w:rsidRPr="00535C8E">
        <w:rPr>
          <w:rFonts w:ascii="Arial" w:hAnsi="Arial" w:cs="Arial"/>
        </w:rPr>
        <w:t>onsommation de la donnée.</w:t>
      </w:r>
    </w:p>
    <w:p w:rsidR="00F8545A" w:rsidRPr="00535C8E" w:rsidRDefault="00F8545A">
      <w:pPr>
        <w:spacing w:after="0"/>
        <w:ind w:left="1417"/>
        <w:jc w:val="both"/>
        <w:rPr>
          <w:rFonts w:ascii="Arial" w:hAnsi="Arial" w:cs="Arial"/>
        </w:rPr>
      </w:pPr>
    </w:p>
    <w:p w:rsidR="00F8545A" w:rsidRPr="00535C8E" w:rsidRDefault="00F31069">
      <w:pPr>
        <w:pStyle w:val="Paragraphedeliste"/>
        <w:numPr>
          <w:ilvl w:val="0"/>
          <w:numId w:val="42"/>
        </w:numPr>
        <w:jc w:val="both"/>
        <w:rPr>
          <w:rFonts w:ascii="Arial" w:hAnsi="Arial" w:cs="Arial"/>
        </w:rPr>
      </w:pPr>
      <w:r w:rsidRPr="00535C8E">
        <w:rPr>
          <w:rFonts w:ascii="Arial" w:hAnsi="Arial" w:cs="Arial"/>
        </w:rPr>
        <w:t>Passer par un prestataire : dans ce cas un prestataire contractualise avec l’APLC et devient ayant-droit pour votre compte.</w:t>
      </w:r>
    </w:p>
    <w:p w:rsidR="00F8545A" w:rsidRPr="00535C8E" w:rsidRDefault="00F8545A">
      <w:pPr>
        <w:rPr>
          <w:rFonts w:ascii="Arial" w:hAnsi="Arial" w:cs="Arial"/>
        </w:rPr>
      </w:pPr>
    </w:p>
    <w:p w:rsidR="00F8545A" w:rsidRPr="00535C8E" w:rsidRDefault="00F31069">
      <w:pPr>
        <w:pStyle w:val="Titre2"/>
        <w:numPr>
          <w:ilvl w:val="1"/>
          <w:numId w:val="8"/>
        </w:numPr>
        <w:rPr>
          <w:rFonts w:ascii="Arial" w:hAnsi="Arial" w:cs="Arial"/>
        </w:rPr>
      </w:pPr>
      <w:bookmarkStart w:id="11" w:name="_Toc12"/>
      <w:r w:rsidRPr="00535C8E">
        <w:rPr>
          <w:rFonts w:ascii="Arial" w:hAnsi="Arial" w:cs="Arial"/>
        </w:rPr>
        <w:t>Mise à jour</w:t>
      </w:r>
      <w:bookmarkEnd w:id="11"/>
    </w:p>
    <w:p w:rsidR="00F8545A" w:rsidRPr="00535C8E" w:rsidRDefault="00F31069">
      <w:pPr>
        <w:jc w:val="both"/>
        <w:rPr>
          <w:rFonts w:ascii="Arial" w:hAnsi="Arial" w:cs="Arial"/>
        </w:rPr>
      </w:pPr>
      <w:r w:rsidRPr="00535C8E">
        <w:rPr>
          <w:rFonts w:ascii="Arial" w:hAnsi="Arial" w:cs="Arial"/>
          <w:b/>
          <w:color w:val="000000"/>
        </w:rPr>
        <w:lastRenderedPageBreak/>
        <w:t>3.2.1 Existence d'un Processus de Mise à Jour Régulier</w:t>
      </w:r>
    </w:p>
    <w:p w:rsidR="00F8545A" w:rsidRPr="00535C8E" w:rsidRDefault="00F31069">
      <w:pPr>
        <w:jc w:val="both"/>
        <w:rPr>
          <w:rFonts w:ascii="Arial" w:hAnsi="Arial" w:cs="Arial"/>
          <w:color w:val="000000"/>
        </w:rPr>
      </w:pPr>
      <w:r w:rsidRPr="00535C8E">
        <w:rPr>
          <w:rFonts w:ascii="Arial" w:hAnsi="Arial" w:cs="Arial"/>
          <w:color w:val="000000"/>
        </w:rPr>
        <w:t xml:space="preserve">La mise à jour régulière du fond de </w:t>
      </w:r>
      <w:r w:rsidRPr="00535C8E">
        <w:rPr>
          <w:rFonts w:ascii="Arial" w:hAnsi="Arial" w:cs="Arial"/>
          <w:color w:val="000000"/>
        </w:rPr>
        <w:t xml:space="preserve">plan PCRS est essentielle pour garantir la fiabilité et la précision des données géoréférencées utilisées dans le cadre des travaux à proximité des réseaux, conformément à la réforme dite « anti-endommagement » ou DT-DICT. Ce processus doit être structuré </w:t>
      </w:r>
      <w:r w:rsidRPr="00535C8E">
        <w:rPr>
          <w:rFonts w:ascii="Arial" w:hAnsi="Arial" w:cs="Arial"/>
          <w:color w:val="000000"/>
        </w:rPr>
        <w:t>et organisé pour assurer une continuité dans la qualité des informations fournies.</w:t>
      </w:r>
    </w:p>
    <w:p w:rsidR="00F8545A" w:rsidRPr="00535C8E" w:rsidRDefault="00F31069">
      <w:pPr>
        <w:jc w:val="both"/>
        <w:rPr>
          <w:rFonts w:ascii="Arial" w:hAnsi="Arial" w:cs="Arial"/>
        </w:rPr>
      </w:pPr>
      <w:r w:rsidRPr="00535C8E">
        <w:rPr>
          <w:rFonts w:ascii="Arial" w:hAnsi="Arial" w:cs="Arial"/>
          <w:color w:val="000000"/>
        </w:rPr>
        <w:t>L’annexe 5 du PCRS</w:t>
      </w:r>
      <w:r w:rsidRPr="00535C8E">
        <w:rPr>
          <w:rStyle w:val="Appelnotedebasdep"/>
          <w:rFonts w:ascii="Arial" w:hAnsi="Arial" w:cs="Arial"/>
          <w:color w:val="000000"/>
        </w:rPr>
        <w:footnoteReference w:id="8"/>
      </w:r>
      <w:r w:rsidRPr="00535C8E">
        <w:rPr>
          <w:rFonts w:ascii="Arial" w:hAnsi="Arial" w:cs="Arial"/>
          <w:color w:val="000000"/>
        </w:rPr>
        <w:t xml:space="preserve"> définit les principes pour la mise à jour d’un PCRS Raster.</w:t>
      </w:r>
    </w:p>
    <w:p w:rsidR="00F8545A" w:rsidRPr="00535C8E" w:rsidRDefault="00F31069">
      <w:pPr>
        <w:jc w:val="both"/>
        <w:rPr>
          <w:rFonts w:ascii="Arial" w:hAnsi="Arial" w:cs="Arial"/>
        </w:rPr>
      </w:pPr>
      <w:r w:rsidRPr="00535C8E">
        <w:rPr>
          <w:rFonts w:ascii="Arial" w:hAnsi="Arial" w:cs="Arial"/>
          <w:b/>
          <w:color w:val="000000"/>
        </w:rPr>
        <w:t>Responsable de la mise à jour identifié :</w:t>
      </w:r>
      <w:r w:rsidRPr="00535C8E">
        <w:rPr>
          <w:rFonts w:ascii="Arial" w:hAnsi="Arial" w:cs="Arial"/>
          <w:color w:val="000000"/>
        </w:rPr>
        <w:t xml:space="preserve"> L'autorité publique locale compétente (APLC), souvent en collaboration avec des partenaires tels que les exploi</w:t>
      </w:r>
      <w:r w:rsidRPr="00535C8E">
        <w:rPr>
          <w:rFonts w:ascii="Arial" w:hAnsi="Arial" w:cs="Arial"/>
          <w:color w:val="000000"/>
        </w:rPr>
        <w:t>tants de réseaux et les collectivités locales, est seule responsable de la mise à jour du fond de plan PCRS. Cette responsabilité inclut l’ensemble des activités liées au maintien à jour suivant le modèle choisi (mise à jour partielle ou complète).</w:t>
      </w:r>
    </w:p>
    <w:p w:rsidR="00F8545A" w:rsidRPr="00535C8E" w:rsidRDefault="00F31069">
      <w:pPr>
        <w:jc w:val="both"/>
        <w:rPr>
          <w:rFonts w:ascii="Arial" w:hAnsi="Arial" w:cs="Arial"/>
        </w:rPr>
      </w:pPr>
      <w:r w:rsidRPr="00535C8E">
        <w:rPr>
          <w:rFonts w:ascii="Arial" w:hAnsi="Arial" w:cs="Arial"/>
          <w:b/>
          <w:color w:val="000000"/>
        </w:rPr>
        <w:t>Viabil</w:t>
      </w:r>
      <w:r w:rsidRPr="00535C8E">
        <w:rPr>
          <w:rFonts w:ascii="Arial" w:hAnsi="Arial" w:cs="Arial"/>
          <w:b/>
          <w:color w:val="000000"/>
        </w:rPr>
        <w:t>ité financière sur la durée :</w:t>
      </w:r>
      <w:r w:rsidRPr="00535C8E">
        <w:rPr>
          <w:rFonts w:ascii="Arial" w:hAnsi="Arial" w:cs="Arial"/>
          <w:color w:val="000000"/>
        </w:rPr>
        <w:t xml:space="preserve"> La réalisation du PCRS nécessite un investissement financier initial conséquent, dont la mise à jour effective permet de pérenniser les investissements réalisés. Une gestion financière rigoureuse, incluant des marchés annuels </w:t>
      </w:r>
      <w:r w:rsidRPr="00535C8E">
        <w:rPr>
          <w:rFonts w:ascii="Arial" w:hAnsi="Arial" w:cs="Arial"/>
          <w:color w:val="000000"/>
        </w:rPr>
        <w:t>et des partenariats avec les intervenants sur le territoire, est essentielle pour assurer la viabilité économique du processus de mise à jour.</w:t>
      </w:r>
    </w:p>
    <w:p w:rsidR="00F8545A" w:rsidRPr="00535C8E" w:rsidRDefault="00F31069">
      <w:pPr>
        <w:jc w:val="both"/>
        <w:rPr>
          <w:rFonts w:ascii="Arial" w:hAnsi="Arial" w:cs="Arial"/>
        </w:rPr>
      </w:pPr>
      <w:r w:rsidRPr="00535C8E">
        <w:rPr>
          <w:rFonts w:ascii="Arial" w:hAnsi="Arial" w:cs="Arial"/>
          <w:b/>
          <w:color w:val="000000"/>
        </w:rPr>
        <w:t>3.2.2 Critères d'acceptabilité</w:t>
      </w:r>
    </w:p>
    <w:p w:rsidR="00F8545A" w:rsidRPr="00535C8E" w:rsidRDefault="00F31069">
      <w:pPr>
        <w:jc w:val="both"/>
        <w:rPr>
          <w:rFonts w:ascii="Arial" w:hAnsi="Arial" w:cs="Arial"/>
        </w:rPr>
      </w:pPr>
      <w:r w:rsidRPr="00535C8E">
        <w:rPr>
          <w:rFonts w:ascii="Arial" w:hAnsi="Arial" w:cs="Arial"/>
          <w:b/>
          <w:color w:val="000000"/>
        </w:rPr>
        <w:t>Critères d’exhaustivité des évolutions de la voirie :</w:t>
      </w:r>
      <w:r w:rsidRPr="00535C8E">
        <w:rPr>
          <w:rFonts w:ascii="Arial" w:hAnsi="Arial" w:cs="Arial"/>
          <w:color w:val="000000"/>
        </w:rPr>
        <w:t xml:space="preserve"> </w:t>
      </w:r>
    </w:p>
    <w:p w:rsidR="00F8545A" w:rsidRPr="00535C8E" w:rsidRDefault="00F31069">
      <w:pPr>
        <w:jc w:val="both"/>
        <w:rPr>
          <w:rFonts w:ascii="Arial" w:hAnsi="Arial" w:cs="Arial"/>
        </w:rPr>
      </w:pPr>
      <w:r w:rsidRPr="00535C8E">
        <w:rPr>
          <w:rFonts w:ascii="Arial" w:hAnsi="Arial" w:cs="Arial"/>
          <w:color w:val="000000"/>
        </w:rPr>
        <w:t xml:space="preserve">Les évolutions de la </w:t>
      </w:r>
      <w:r w:rsidRPr="00535C8E">
        <w:rPr>
          <w:rFonts w:ascii="Arial" w:hAnsi="Arial" w:cs="Arial"/>
          <w:color w:val="000000"/>
        </w:rPr>
        <w:t>géométrie du corps de rue (ajout ou modification) sont régulières sur le territoire. Le modèle de mise à jour choisi par l’APLC doit tenir compte de cette réalité afin de garantir un plan le plus à jour possible au regard des contraintes technico-économiqu</w:t>
      </w:r>
      <w:r w:rsidRPr="00535C8E">
        <w:rPr>
          <w:rFonts w:ascii="Arial" w:hAnsi="Arial" w:cs="Arial"/>
          <w:color w:val="000000"/>
        </w:rPr>
        <w:t>es.</w:t>
      </w:r>
    </w:p>
    <w:p w:rsidR="00F8545A" w:rsidRPr="00535C8E" w:rsidRDefault="00F31069">
      <w:pPr>
        <w:jc w:val="both"/>
        <w:rPr>
          <w:rFonts w:ascii="Arial" w:hAnsi="Arial" w:cs="Arial"/>
        </w:rPr>
      </w:pPr>
      <w:r w:rsidRPr="00535C8E">
        <w:rPr>
          <w:rFonts w:ascii="Arial" w:hAnsi="Arial" w:cs="Arial"/>
          <w:color w:val="000000"/>
        </w:rPr>
        <w:t>Afin de garantir l'exhaustivité du suivi des évolutions de la voirie, il est crucial de mettre en place un système d’analyse et de remontée des informations des travaux effectués sur le territoire. Ce système doit permettre de détecter et de qualifier</w:t>
      </w:r>
      <w:r w:rsidRPr="00535C8E">
        <w:rPr>
          <w:rFonts w:ascii="Arial" w:hAnsi="Arial" w:cs="Arial"/>
          <w:color w:val="000000"/>
        </w:rPr>
        <w:t xml:space="preserve"> les modifications significatives de la voirie, telles que la création de nouvelles voies, les réaménagements urbains, ou les travaux d'accessibilité.</w:t>
      </w:r>
    </w:p>
    <w:p w:rsidR="00F8545A" w:rsidRPr="00535C8E" w:rsidRDefault="00F31069">
      <w:pPr>
        <w:jc w:val="both"/>
        <w:rPr>
          <w:rFonts w:ascii="Arial" w:hAnsi="Arial" w:cs="Arial"/>
        </w:rPr>
      </w:pPr>
      <w:r w:rsidRPr="00535C8E">
        <w:rPr>
          <w:rFonts w:ascii="Arial" w:hAnsi="Arial" w:cs="Arial"/>
          <w:b/>
          <w:color w:val="000000"/>
        </w:rPr>
        <w:t>Fréquence de mise à jour minimale à déterminer en fonction des territoires :</w:t>
      </w:r>
      <w:r w:rsidRPr="00535C8E">
        <w:rPr>
          <w:rFonts w:ascii="Arial" w:hAnsi="Arial" w:cs="Arial"/>
          <w:color w:val="000000"/>
        </w:rPr>
        <w:t xml:space="preserve"> La fréquence de mise à jour </w:t>
      </w:r>
      <w:r w:rsidRPr="00535C8E">
        <w:rPr>
          <w:rFonts w:ascii="Arial" w:hAnsi="Arial" w:cs="Arial"/>
          <w:color w:val="000000"/>
        </w:rPr>
        <w:t>doit être adaptée aux caractéristiques spécifiques de chaque territoire, telles que la dynamique de construction et la surface couverte. Une mise à jour régulière est généralement recommandée pour répartir la charge de travail et maintenir la pertinence de</w:t>
      </w:r>
      <w:r w:rsidRPr="00535C8E">
        <w:rPr>
          <w:rFonts w:ascii="Arial" w:hAnsi="Arial" w:cs="Arial"/>
          <w:color w:val="000000"/>
        </w:rPr>
        <w:t>s données. Cependant, des mises à jour moins fréquentes peuvent être mises en œuvre notamment dans des zones à forte dynamique de construction où il n’est pas possible de suivre l’ensemble des modifications de voirie.</w:t>
      </w:r>
    </w:p>
    <w:p w:rsidR="00F8545A" w:rsidRPr="00535C8E" w:rsidRDefault="00F31069">
      <w:pPr>
        <w:jc w:val="both"/>
        <w:rPr>
          <w:rFonts w:ascii="Arial" w:hAnsi="Arial" w:cs="Arial"/>
        </w:rPr>
      </w:pPr>
      <w:r w:rsidRPr="00535C8E">
        <w:rPr>
          <w:rFonts w:ascii="Arial" w:hAnsi="Arial" w:cs="Arial"/>
          <w:color w:val="000000"/>
        </w:rPr>
        <w:t xml:space="preserve">En conclusion, la nature même du PCRS </w:t>
      </w:r>
      <w:r w:rsidRPr="00535C8E">
        <w:rPr>
          <w:rFonts w:ascii="Arial" w:hAnsi="Arial" w:cs="Arial"/>
          <w:color w:val="000000"/>
        </w:rPr>
        <w:t xml:space="preserve">comme fond de plan réglementaire pour les travaux à proximité des réseaux enterrés impose à l’APLC la mise en œuvre d’un </w:t>
      </w:r>
      <w:r w:rsidRPr="00535C8E">
        <w:rPr>
          <w:rFonts w:ascii="Arial" w:hAnsi="Arial" w:cs="Arial"/>
          <w:color w:val="000000"/>
        </w:rPr>
        <w:lastRenderedPageBreak/>
        <w:t xml:space="preserve">processus de mise à jour dès la réalisation du socle initial. Cette obligation de moyens est indispensable pour répondre aux exigences </w:t>
      </w:r>
      <w:r w:rsidRPr="00535C8E">
        <w:rPr>
          <w:rFonts w:ascii="Arial" w:hAnsi="Arial" w:cs="Arial"/>
          <w:color w:val="000000"/>
        </w:rPr>
        <w:t>réglementaires et assurer la sécurité des travaux à proximité des réseaux. Un processus bien défini, avec des responsabilités claires et une viabilité financière assurée, est essentiel pour garantir l'exhaustivité et la fréquence appropriée des mises à jou</w:t>
      </w:r>
      <w:r w:rsidRPr="00535C8E">
        <w:rPr>
          <w:rFonts w:ascii="Arial" w:hAnsi="Arial" w:cs="Arial"/>
          <w:color w:val="000000"/>
        </w:rPr>
        <w:t>r.</w:t>
      </w:r>
    </w:p>
    <w:p w:rsidR="00F8545A" w:rsidRPr="00535C8E" w:rsidRDefault="00F31069">
      <w:pPr>
        <w:pStyle w:val="Titre1"/>
        <w:numPr>
          <w:ilvl w:val="0"/>
          <w:numId w:val="8"/>
        </w:numPr>
        <w:rPr>
          <w:rFonts w:ascii="Arial" w:hAnsi="Arial" w:cs="Arial"/>
        </w:rPr>
      </w:pPr>
      <w:bookmarkStart w:id="12" w:name="_Toc13"/>
      <w:r w:rsidRPr="00535C8E">
        <w:rPr>
          <w:rFonts w:ascii="Arial" w:hAnsi="Arial" w:cs="Arial"/>
        </w:rPr>
        <w:t>Technique</w:t>
      </w:r>
      <w:bookmarkEnd w:id="12"/>
    </w:p>
    <w:p w:rsidR="00F8545A" w:rsidRPr="00535C8E" w:rsidRDefault="00F31069">
      <w:pPr>
        <w:pStyle w:val="Titre2"/>
        <w:numPr>
          <w:ilvl w:val="1"/>
          <w:numId w:val="8"/>
        </w:numPr>
        <w:rPr>
          <w:rFonts w:ascii="Arial" w:hAnsi="Arial" w:cs="Arial"/>
        </w:rPr>
      </w:pPr>
      <w:bookmarkStart w:id="13" w:name="_Toc14"/>
      <w:r w:rsidRPr="00535C8E">
        <w:rPr>
          <w:rFonts w:ascii="Arial" w:hAnsi="Arial" w:cs="Arial"/>
        </w:rPr>
        <w:t>Critères de conformité au terme "Meilleur fond de plan"</w:t>
      </w:r>
      <w:bookmarkEnd w:id="13"/>
    </w:p>
    <w:p w:rsidR="00F8545A" w:rsidRPr="00535C8E" w:rsidRDefault="00F31069">
      <w:pPr>
        <w:pStyle w:val="Titre3"/>
        <w:numPr>
          <w:ilvl w:val="2"/>
          <w:numId w:val="8"/>
        </w:numPr>
        <w:rPr>
          <w:rFonts w:ascii="Arial" w:hAnsi="Arial" w:cs="Arial"/>
        </w:rPr>
      </w:pPr>
      <w:bookmarkStart w:id="14" w:name="_Toc15"/>
      <w:r w:rsidRPr="00535C8E">
        <w:rPr>
          <w:rFonts w:ascii="Arial" w:hAnsi="Arial" w:cs="Arial"/>
        </w:rPr>
        <w:t>Respect du standard PCRS et de ses annexes</w:t>
      </w:r>
      <w:bookmarkEnd w:id="14"/>
    </w:p>
    <w:p w:rsidR="00F8545A" w:rsidRPr="00535C8E" w:rsidRDefault="00F31069">
      <w:pPr>
        <w:rPr>
          <w:rFonts w:ascii="Arial" w:hAnsi="Arial" w:cs="Arial"/>
          <w:b/>
        </w:rPr>
      </w:pPr>
      <w:r w:rsidRPr="00535C8E">
        <w:rPr>
          <w:rFonts w:ascii="Arial" w:hAnsi="Arial" w:cs="Arial"/>
          <w:b/>
        </w:rPr>
        <w:t>Structure des données</w:t>
      </w:r>
    </w:p>
    <w:p w:rsidR="00F8545A" w:rsidRPr="00535C8E" w:rsidRDefault="00F31069">
      <w:pPr>
        <w:spacing w:line="276" w:lineRule="atLeast"/>
        <w:ind w:firstLine="708"/>
        <w:jc w:val="both"/>
        <w:rPr>
          <w:rFonts w:ascii="Arial" w:hAnsi="Arial" w:cs="Arial"/>
        </w:rPr>
      </w:pPr>
      <w:r w:rsidRPr="00535C8E">
        <w:rPr>
          <w:rFonts w:ascii="Arial" w:eastAsia="Arial" w:hAnsi="Arial" w:cs="Arial"/>
          <w:color w:val="000000"/>
        </w:rPr>
        <w:t>Le standard PCRS validé et diffusé par le CNIG décrit la structuration technique pour l’échange de toutes informations per</w:t>
      </w:r>
      <w:r w:rsidRPr="00535C8E">
        <w:rPr>
          <w:rFonts w:ascii="Arial" w:eastAsia="Arial" w:hAnsi="Arial" w:cs="Arial"/>
          <w:color w:val="000000"/>
        </w:rPr>
        <w:t>mettant l’interopérabilité du fond de plan entre les outils informatiques des acteurs (topographes gestionnaires de PCRS-APLC, exploitants…).</w:t>
      </w:r>
    </w:p>
    <w:p w:rsidR="00F8545A" w:rsidRPr="00535C8E" w:rsidRDefault="00F31069">
      <w:pPr>
        <w:spacing w:line="276" w:lineRule="atLeast"/>
        <w:ind w:firstLine="708"/>
        <w:jc w:val="both"/>
        <w:rPr>
          <w:rFonts w:ascii="Arial" w:hAnsi="Arial" w:cs="Arial"/>
        </w:rPr>
      </w:pPr>
      <w:r w:rsidRPr="00535C8E">
        <w:rPr>
          <w:rFonts w:ascii="Arial" w:eastAsia="Arial" w:hAnsi="Arial" w:cs="Arial"/>
          <w:color w:val="000000"/>
        </w:rPr>
        <w:t xml:space="preserve">La conformité de l’échange au format standard PCRS est donc indispensable à son usage. Sans cela, tout ou partie </w:t>
      </w:r>
      <w:r w:rsidRPr="00535C8E">
        <w:rPr>
          <w:rFonts w:ascii="Arial" w:eastAsia="Arial" w:hAnsi="Arial" w:cs="Arial"/>
          <w:color w:val="000000"/>
        </w:rPr>
        <w:t>des données échangées pourraient ne pas être interprétées correctement par le destinataire.</w:t>
      </w:r>
    </w:p>
    <w:p w:rsidR="00F8545A" w:rsidRPr="00535C8E" w:rsidRDefault="00F31069">
      <w:pPr>
        <w:spacing w:line="276" w:lineRule="atLeast"/>
        <w:ind w:firstLine="708"/>
        <w:jc w:val="both"/>
        <w:rPr>
          <w:rFonts w:ascii="Arial" w:hAnsi="Arial" w:cs="Arial"/>
        </w:rPr>
      </w:pPr>
      <w:r w:rsidRPr="00535C8E">
        <w:rPr>
          <w:rFonts w:ascii="Arial" w:eastAsia="Arial" w:hAnsi="Arial" w:cs="Arial"/>
          <w:color w:val="000000"/>
        </w:rPr>
        <w:t>La vérification de la structure des données au format gml s’appuie sur un fichier xsd diffusé par le CNIG, dans un logiciel développé à cet effet ou un ETL</w:t>
      </w:r>
      <w:r w:rsidRPr="00535C8E">
        <w:rPr>
          <w:rStyle w:val="Appelnotedebasdep"/>
          <w:rFonts w:ascii="Arial" w:eastAsia="Arial" w:hAnsi="Arial" w:cs="Arial"/>
          <w:color w:val="467886"/>
          <w:u w:val="single"/>
        </w:rPr>
        <w:footnoteReference w:id="9"/>
      </w:r>
      <w:r w:rsidRPr="00535C8E">
        <w:rPr>
          <w:rFonts w:ascii="Arial" w:eastAsia="Arial" w:hAnsi="Arial" w:cs="Arial"/>
          <w:color w:val="000000"/>
        </w:rPr>
        <w:t>. L’IGN a par ailleurs développé une plateforme de vérification de structure du PCRS (en version de démonstration en mars 2025)</w:t>
      </w:r>
      <w:r w:rsidRPr="00535C8E">
        <w:rPr>
          <w:rStyle w:val="Appelnotedebasdep"/>
          <w:rFonts w:ascii="Arial" w:eastAsia="Arial" w:hAnsi="Arial" w:cs="Arial"/>
          <w:color w:val="467886"/>
          <w:u w:val="single"/>
        </w:rPr>
        <w:footnoteReference w:id="10"/>
      </w:r>
      <w:r w:rsidRPr="00535C8E">
        <w:rPr>
          <w:rFonts w:ascii="Arial" w:eastAsia="Arial" w:hAnsi="Arial" w:cs="Arial"/>
          <w:color w:val="000000"/>
        </w:rPr>
        <w:t>.</w:t>
      </w:r>
    </w:p>
    <w:p w:rsidR="00F8545A" w:rsidRPr="00535C8E" w:rsidRDefault="00F31069">
      <w:pPr>
        <w:shd w:val="clear" w:color="auto" w:fill="FFFFFF"/>
        <w:jc w:val="both"/>
        <w:rPr>
          <w:rFonts w:ascii="Arial" w:hAnsi="Arial" w:cs="Arial"/>
        </w:rPr>
      </w:pPr>
      <w:r w:rsidRPr="00535C8E">
        <w:rPr>
          <w:rFonts w:ascii="Arial" w:eastAsia="Arial" w:hAnsi="Arial" w:cs="Arial"/>
          <w:color w:val="000000"/>
        </w:rPr>
        <w:t xml:space="preserve">Pour les PCRS avec </w:t>
      </w:r>
      <w:r w:rsidRPr="00535C8E">
        <w:rPr>
          <w:rFonts w:ascii="Arial" w:eastAsia="Arial" w:hAnsi="Arial" w:cs="Arial"/>
          <w:color w:val="000000"/>
        </w:rPr>
        <w:t xml:space="preserve">une composante Raster, la structure des données doit s’appuyer sur les dispositions des annexes </w:t>
      </w:r>
      <w:hyperlink r:id="rId43" w:history="1">
        <w:r w:rsidRPr="00535C8E">
          <w:rPr>
            <w:rStyle w:val="Lienhypertexte"/>
            <w:rFonts w:ascii="Arial" w:eastAsia="Arial" w:hAnsi="Arial" w:cs="Arial"/>
          </w:rPr>
          <w:t>Annexe 1 : Spécifications d’orthoph</w:t>
        </w:r>
        <w:r w:rsidRPr="00535C8E">
          <w:rPr>
            <w:rStyle w:val="Lienhypertexte"/>
            <w:rFonts w:ascii="Arial" w:eastAsia="Arial" w:hAnsi="Arial" w:cs="Arial"/>
          </w:rPr>
          <w:t>otoplan</w:t>
        </w:r>
      </w:hyperlink>
      <w:r w:rsidRPr="00535C8E">
        <w:rPr>
          <w:rFonts w:ascii="Arial" w:eastAsia="Arial" w:hAnsi="Arial" w:cs="Arial"/>
          <w:color w:val="3A3A3A"/>
        </w:rPr>
        <w:t xml:space="preserve"> et </w:t>
      </w:r>
      <w:hyperlink r:id="rId44" w:history="1">
        <w:r w:rsidRPr="00535C8E">
          <w:rPr>
            <w:rStyle w:val="Lienhypertexte"/>
            <w:rFonts w:ascii="Arial" w:eastAsia="Arial" w:hAnsi="Arial" w:cs="Arial"/>
          </w:rPr>
          <w:t>Annexe 4 : Contrôle des acquisitions raster</w:t>
        </w:r>
      </w:hyperlink>
    </w:p>
    <w:p w:rsidR="00F8545A" w:rsidRPr="00535C8E" w:rsidRDefault="00F31069">
      <w:pPr>
        <w:spacing w:line="276" w:lineRule="atLeast"/>
        <w:jc w:val="both"/>
        <w:rPr>
          <w:rFonts w:ascii="Arial" w:hAnsi="Arial" w:cs="Arial"/>
        </w:rPr>
      </w:pPr>
      <w:r w:rsidRPr="00535C8E">
        <w:rPr>
          <w:rFonts w:ascii="Arial" w:eastAsia="Arial" w:hAnsi="Arial" w:cs="Arial"/>
          <w:color w:val="000000"/>
        </w:rPr>
        <w:t>Pour rappel, le format PCRS s’utilise dans un contexte d’échange de données. Généralement, après transf</w:t>
      </w:r>
      <w:r w:rsidRPr="00535C8E">
        <w:rPr>
          <w:rFonts w:ascii="Arial" w:eastAsia="Arial" w:hAnsi="Arial" w:cs="Arial"/>
          <w:color w:val="000000"/>
        </w:rPr>
        <w:t>ormation des données, celles-ci sont stockées et exploitées dans des fichiers ou bases de données géomatiques usuels (ou encore dans des formats DAO).</w:t>
      </w:r>
    </w:p>
    <w:p w:rsidR="00F8545A" w:rsidRPr="00535C8E" w:rsidRDefault="00F31069">
      <w:pPr>
        <w:jc w:val="both"/>
        <w:rPr>
          <w:rFonts w:ascii="Arial" w:hAnsi="Arial" w:cs="Arial"/>
          <w:b/>
        </w:rPr>
      </w:pPr>
      <w:r w:rsidRPr="00535C8E">
        <w:rPr>
          <w:rFonts w:ascii="Arial" w:hAnsi="Arial" w:cs="Arial"/>
          <w:b/>
        </w:rPr>
        <w:t>Teneur des données échangées</w:t>
      </w:r>
    </w:p>
    <w:p w:rsidR="00F8545A" w:rsidRPr="00535C8E" w:rsidRDefault="00F31069">
      <w:pPr>
        <w:spacing w:line="276" w:lineRule="atLeast"/>
        <w:ind w:firstLine="708"/>
        <w:jc w:val="both"/>
        <w:rPr>
          <w:rFonts w:ascii="Arial" w:hAnsi="Arial" w:cs="Arial"/>
        </w:rPr>
      </w:pPr>
      <w:r w:rsidRPr="00535C8E">
        <w:rPr>
          <w:rFonts w:ascii="Arial" w:eastAsia="Arial" w:hAnsi="Arial" w:cs="Arial"/>
          <w:color w:val="000000"/>
        </w:rPr>
        <w:t>Le standard PCRS décrit ainsi la structure des fichiers gml d’échange (class</w:t>
      </w:r>
      <w:r w:rsidRPr="00535C8E">
        <w:rPr>
          <w:rFonts w:ascii="Arial" w:eastAsia="Arial" w:hAnsi="Arial" w:cs="Arial"/>
          <w:color w:val="000000"/>
        </w:rPr>
        <w:t xml:space="preserve">es d’objets, relations et attributs utilisables), mais la teneur des données est laissée à l’appréciation des utilisateurs. Généralement, les spécifications détaillées sont établies communément entre les partenaires du PCRS. Ils respectent </w:t>
      </w:r>
      <w:r w:rsidRPr="00535C8E">
        <w:rPr>
          <w:rFonts w:ascii="Arial" w:eastAsia="Arial" w:hAnsi="Arial" w:cs="Arial"/>
          <w:i/>
          <w:color w:val="000000"/>
        </w:rPr>
        <w:t>a minima</w:t>
      </w:r>
      <w:r w:rsidRPr="00535C8E">
        <w:rPr>
          <w:rFonts w:ascii="Arial" w:eastAsia="Arial" w:hAnsi="Arial" w:cs="Arial"/>
          <w:color w:val="000000"/>
        </w:rPr>
        <w:t xml:space="preserve"> les dis</w:t>
      </w:r>
      <w:r w:rsidRPr="00535C8E">
        <w:rPr>
          <w:rFonts w:ascii="Arial" w:eastAsia="Arial" w:hAnsi="Arial" w:cs="Arial"/>
          <w:color w:val="000000"/>
        </w:rPr>
        <w:t>positions suivantes :</w:t>
      </w:r>
    </w:p>
    <w:p w:rsidR="00F8545A" w:rsidRPr="00535C8E" w:rsidRDefault="00F31069">
      <w:pPr>
        <w:numPr>
          <w:ilvl w:val="0"/>
          <w:numId w:val="49"/>
        </w:numPr>
        <w:spacing w:line="276" w:lineRule="atLeast"/>
        <w:jc w:val="both"/>
        <w:rPr>
          <w:rFonts w:ascii="Arial" w:hAnsi="Arial" w:cs="Arial"/>
        </w:rPr>
      </w:pPr>
      <w:r w:rsidRPr="00535C8E">
        <w:rPr>
          <w:rFonts w:ascii="Arial" w:eastAsia="Arial" w:hAnsi="Arial" w:cs="Arial"/>
          <w:color w:val="000000"/>
        </w:rPr>
        <w:t>Le niveau d’exhaustivité des objets de la voirie représentés dans le PCRS est suffisant pour réaliser le positionnement des réseaux sur le terrain par rapport à ces objets de la voirie ;</w:t>
      </w:r>
    </w:p>
    <w:p w:rsidR="00F8545A" w:rsidRPr="00535C8E" w:rsidRDefault="00F31069">
      <w:pPr>
        <w:numPr>
          <w:ilvl w:val="0"/>
          <w:numId w:val="49"/>
        </w:numPr>
        <w:spacing w:line="276" w:lineRule="atLeast"/>
        <w:jc w:val="both"/>
        <w:rPr>
          <w:rFonts w:ascii="Arial" w:hAnsi="Arial" w:cs="Arial"/>
        </w:rPr>
      </w:pPr>
      <w:r w:rsidRPr="00535C8E">
        <w:rPr>
          <w:rFonts w:ascii="Arial" w:eastAsia="Arial" w:hAnsi="Arial" w:cs="Arial"/>
          <w:color w:val="000000"/>
        </w:rPr>
        <w:t xml:space="preserve">La précision et la résolution géométriques des </w:t>
      </w:r>
      <w:r w:rsidRPr="00535C8E">
        <w:rPr>
          <w:rFonts w:ascii="Arial" w:eastAsia="Arial" w:hAnsi="Arial" w:cs="Arial"/>
          <w:color w:val="000000"/>
        </w:rPr>
        <w:t xml:space="preserve">objets sont compatibles avec </w:t>
      </w:r>
      <w:r w:rsidRPr="00535C8E">
        <w:rPr>
          <w:rFonts w:ascii="Arial" w:eastAsia="Arial" w:hAnsi="Arial" w:cs="Arial"/>
          <w:color w:val="000000"/>
        </w:rPr>
        <w:lastRenderedPageBreak/>
        <w:t>la classe de précision A et sont contrôlées selon les préconisations des annexes du PCRS et des règles de l’art ;</w:t>
      </w:r>
    </w:p>
    <w:p w:rsidR="00F8545A" w:rsidRPr="00535C8E" w:rsidRDefault="00F31069">
      <w:pPr>
        <w:numPr>
          <w:ilvl w:val="0"/>
          <w:numId w:val="49"/>
        </w:numPr>
        <w:spacing w:line="276" w:lineRule="atLeast"/>
        <w:jc w:val="both"/>
        <w:rPr>
          <w:rFonts w:ascii="Arial" w:hAnsi="Arial" w:cs="Arial"/>
        </w:rPr>
      </w:pPr>
      <w:r w:rsidRPr="00535C8E">
        <w:rPr>
          <w:rFonts w:ascii="Arial" w:eastAsia="Arial" w:hAnsi="Arial" w:cs="Arial"/>
          <w:color w:val="000000"/>
        </w:rPr>
        <w:t>Les spécifications peuvent être allégées sur les zones naturelles ou peu denses.</w:t>
      </w:r>
    </w:p>
    <w:p w:rsidR="00F8545A" w:rsidRPr="00535C8E" w:rsidRDefault="00F31069">
      <w:pPr>
        <w:spacing w:line="276" w:lineRule="atLeast"/>
        <w:jc w:val="both"/>
        <w:rPr>
          <w:rFonts w:ascii="Arial" w:hAnsi="Arial" w:cs="Arial"/>
        </w:rPr>
      </w:pPr>
      <w:r w:rsidRPr="00535C8E">
        <w:rPr>
          <w:rFonts w:ascii="Arial" w:eastAsia="Arial" w:hAnsi="Arial" w:cs="Arial"/>
          <w:color w:val="000000"/>
        </w:rPr>
        <w:t xml:space="preserve">Dans le cas où une APLC diffuse </w:t>
      </w:r>
      <w:r w:rsidRPr="00535C8E">
        <w:rPr>
          <w:rFonts w:ascii="Arial" w:eastAsia="Arial" w:hAnsi="Arial" w:cs="Arial"/>
          <w:color w:val="000000"/>
        </w:rPr>
        <w:t>plusieurs référentiels de description de la voirie, l’APLC certifie quel produit diffusé constitue le PCRS.</w:t>
      </w:r>
    </w:p>
    <w:p w:rsidR="00F8545A" w:rsidRPr="00535C8E" w:rsidRDefault="00F8545A">
      <w:pPr>
        <w:rPr>
          <w:rFonts w:ascii="Arial" w:hAnsi="Arial" w:cs="Arial"/>
          <w:b/>
        </w:rPr>
      </w:pPr>
    </w:p>
    <w:p w:rsidR="00F8545A" w:rsidRPr="00535C8E" w:rsidRDefault="00F31069">
      <w:pPr>
        <w:rPr>
          <w:rFonts w:ascii="Arial" w:hAnsi="Arial" w:cs="Arial"/>
          <w:b/>
        </w:rPr>
      </w:pPr>
      <w:r w:rsidRPr="00535C8E">
        <w:rPr>
          <w:rFonts w:ascii="Arial" w:hAnsi="Arial" w:cs="Arial"/>
          <w:b/>
        </w:rPr>
        <w:t>Géoréférencement du réseau de l’exploitant</w:t>
      </w:r>
    </w:p>
    <w:p w:rsidR="00F8545A" w:rsidRPr="00535C8E" w:rsidRDefault="00F31069">
      <w:pPr>
        <w:spacing w:line="276" w:lineRule="atLeast"/>
        <w:jc w:val="both"/>
        <w:rPr>
          <w:rFonts w:ascii="Arial" w:eastAsia="Arial" w:hAnsi="Arial" w:cs="Arial"/>
          <w:color w:val="000000"/>
        </w:rPr>
      </w:pPr>
      <w:r w:rsidRPr="00535C8E">
        <w:rPr>
          <w:rFonts w:ascii="Arial" w:eastAsia="Arial" w:hAnsi="Arial" w:cs="Arial"/>
          <w:color w:val="000000"/>
        </w:rPr>
        <w:t xml:space="preserve">Pour pouvoir utiliser un PCRS, l’exploitant doit impérativement passer par une étape de vérification et </w:t>
      </w:r>
      <w:r w:rsidRPr="00535C8E">
        <w:rPr>
          <w:rFonts w:ascii="Arial" w:eastAsia="Arial" w:hAnsi="Arial" w:cs="Arial"/>
          <w:color w:val="000000"/>
        </w:rPr>
        <w:t>si nécessaire de mise à niveau du géoréférencement de ses plans ou ses tracés d’ouvrages. La finalité de cette étape est de s’assurer que son réseau est correctement géoréférencé et donc compatible avec ce nouveau fond de plan de référence.</w:t>
      </w:r>
    </w:p>
    <w:p w:rsidR="00F8545A" w:rsidRPr="00535C8E" w:rsidRDefault="00F31069">
      <w:pPr>
        <w:spacing w:line="276" w:lineRule="atLeast"/>
        <w:jc w:val="both"/>
        <w:rPr>
          <w:rFonts w:ascii="Arial" w:eastAsia="Arial" w:hAnsi="Arial" w:cs="Arial"/>
          <w:color w:val="000000"/>
        </w:rPr>
      </w:pPr>
      <w:r w:rsidRPr="00535C8E">
        <w:rPr>
          <w:rFonts w:ascii="Arial" w:eastAsia="Arial" w:hAnsi="Arial" w:cs="Arial"/>
          <w:color w:val="000000"/>
        </w:rPr>
        <w:t xml:space="preserve">Concrètement, </w:t>
      </w:r>
      <w:r w:rsidRPr="00535C8E">
        <w:rPr>
          <w:rFonts w:ascii="Arial" w:eastAsia="Arial" w:hAnsi="Arial" w:cs="Arial"/>
          <w:color w:val="000000"/>
        </w:rPr>
        <w:t>ce travail de vérification du géoréférencement des réseaux peut s’effectuer à partir du PCRS produit (ou des données intermédiaires : nuages de points, clichés orientés) qui, par construction, fait référence en matière de précision. On constate tout partic</w:t>
      </w:r>
      <w:r w:rsidRPr="00535C8E">
        <w:rPr>
          <w:rFonts w:ascii="Arial" w:eastAsia="Arial" w:hAnsi="Arial" w:cs="Arial"/>
          <w:color w:val="000000"/>
        </w:rPr>
        <w:t>ulièrement dans ce cas l’importance de la réalisation et de la communication des contrôles comme décrits dans les annexes du PCRS.</w:t>
      </w:r>
    </w:p>
    <w:p w:rsidR="00F8545A" w:rsidRPr="00535C8E" w:rsidRDefault="00F8545A">
      <w:pPr>
        <w:rPr>
          <w:rFonts w:ascii="Arial" w:hAnsi="Arial" w:cs="Arial"/>
        </w:rPr>
      </w:pPr>
    </w:p>
    <w:p w:rsidR="00F8545A" w:rsidRPr="00535C8E" w:rsidRDefault="00F31069">
      <w:pPr>
        <w:pStyle w:val="Titre3"/>
        <w:numPr>
          <w:ilvl w:val="2"/>
          <w:numId w:val="8"/>
        </w:numPr>
        <w:rPr>
          <w:rFonts w:ascii="Arial" w:hAnsi="Arial" w:cs="Arial"/>
        </w:rPr>
      </w:pPr>
      <w:bookmarkStart w:id="15" w:name="_Ref184300987"/>
      <w:bookmarkStart w:id="16" w:name="_Toc16"/>
      <w:r w:rsidRPr="00535C8E">
        <w:rPr>
          <w:rFonts w:ascii="Arial" w:hAnsi="Arial" w:cs="Arial"/>
        </w:rPr>
        <w:t>Nature du PCRS</w:t>
      </w:r>
      <w:bookmarkEnd w:id="15"/>
      <w:bookmarkEnd w:id="16"/>
    </w:p>
    <w:p w:rsidR="00F8545A" w:rsidRPr="00535C8E" w:rsidRDefault="00F31069">
      <w:pPr>
        <w:pStyle w:val="Titre4"/>
        <w:spacing w:before="120" w:after="80" w:line="276" w:lineRule="atLeast"/>
        <w:rPr>
          <w:rFonts w:ascii="Arial" w:hAnsi="Arial" w:cs="Arial"/>
        </w:rPr>
      </w:pPr>
      <w:bookmarkStart w:id="17" w:name="_Toc17"/>
      <w:r w:rsidRPr="00535C8E">
        <w:rPr>
          <w:rFonts w:ascii="Arial" w:eastAsia="Arial" w:hAnsi="Arial" w:cs="Arial"/>
        </w:rPr>
        <w:t>4.1.2.1 PCRS Vecteur</w:t>
      </w:r>
      <w:bookmarkEnd w:id="17"/>
    </w:p>
    <w:p w:rsidR="00F8545A" w:rsidRPr="00535C8E" w:rsidRDefault="00F31069">
      <w:pPr>
        <w:spacing w:line="276" w:lineRule="atLeast"/>
        <w:ind w:firstLine="709"/>
        <w:jc w:val="both"/>
        <w:rPr>
          <w:rFonts w:ascii="Arial" w:hAnsi="Arial" w:cs="Arial"/>
        </w:rPr>
      </w:pPr>
      <w:r w:rsidRPr="00535C8E">
        <w:rPr>
          <w:rFonts w:ascii="Arial" w:eastAsia="Arial" w:hAnsi="Arial" w:cs="Arial"/>
          <w:color w:val="000000"/>
        </w:rPr>
        <w:t>Le PCRS Vecteur est composé de données vectorielles, points, lignes, surfaces, symboles.</w:t>
      </w:r>
      <w:r w:rsidRPr="00535C8E">
        <w:rPr>
          <w:rFonts w:ascii="Arial" w:eastAsia="Arial" w:hAnsi="Arial" w:cs="Arial"/>
          <w:color w:val="000000"/>
        </w:rPr>
        <w:t xml:space="preserve"> Les points levés sont de précision centimétrique, compatibles classe A, relevés en x, y, z, dans le système de référence géographique en vigueur (voir paragraphe B.1.4 de la norme PCRS V2).</w:t>
      </w:r>
    </w:p>
    <w:p w:rsidR="00F8545A" w:rsidRPr="00535C8E" w:rsidRDefault="00F31069">
      <w:pPr>
        <w:spacing w:line="276" w:lineRule="atLeast"/>
        <w:ind w:firstLine="709"/>
        <w:jc w:val="both"/>
        <w:rPr>
          <w:rFonts w:ascii="Arial" w:eastAsia="Arial" w:hAnsi="Arial" w:cs="Arial"/>
          <w:color w:val="000000"/>
        </w:rPr>
      </w:pPr>
      <w:r w:rsidRPr="00535C8E">
        <w:rPr>
          <w:rFonts w:ascii="Arial" w:eastAsia="Arial" w:hAnsi="Arial" w:cs="Arial"/>
          <w:color w:val="000000"/>
        </w:rPr>
        <w:t xml:space="preserve">Les attributs de ces objets sont définis dans le catalogue des </w:t>
      </w:r>
      <w:r w:rsidRPr="00535C8E">
        <w:rPr>
          <w:rFonts w:ascii="Arial" w:eastAsia="Arial" w:hAnsi="Arial" w:cs="Arial"/>
          <w:color w:val="000000"/>
        </w:rPr>
        <w:t>classes d’objets de la norme V2 qui, plus largement, s’inscrivent dans différentes thématiques ; habillage, topo, voirie, bâti, clôtures, affleurant, végétal, mais aussi ouvrages d’art, ferroviaire, hydrographie, orographie.</w:t>
      </w:r>
    </w:p>
    <w:p w:rsidR="00F8545A" w:rsidRPr="00535C8E" w:rsidRDefault="00F31069">
      <w:pPr>
        <w:spacing w:line="276" w:lineRule="atLeast"/>
        <w:ind w:firstLine="709"/>
        <w:jc w:val="both"/>
        <w:rPr>
          <w:rFonts w:ascii="Arial" w:hAnsi="Arial" w:cs="Arial"/>
        </w:rPr>
      </w:pPr>
      <w:r w:rsidRPr="00535C8E">
        <w:rPr>
          <w:rFonts w:ascii="Arial" w:eastAsia="Arial" w:hAnsi="Arial" w:cs="Arial"/>
          <w:color w:val="000000"/>
        </w:rPr>
        <w:t>Les emprises du PCRS Vecteur s</w:t>
      </w:r>
      <w:r w:rsidRPr="00535C8E">
        <w:rPr>
          <w:rFonts w:ascii="Arial" w:eastAsia="Arial" w:hAnsi="Arial" w:cs="Arial"/>
          <w:color w:val="000000"/>
        </w:rPr>
        <w:t>uivent les corps de rues et, contrairement au PCRS Raster, ne couvrent pas l’ensemble du territoire. Les noms des voies et numéros doivent être indiqués.</w:t>
      </w:r>
    </w:p>
    <w:p w:rsidR="00F8545A" w:rsidRPr="00535C8E" w:rsidRDefault="00F31069">
      <w:pPr>
        <w:spacing w:line="276" w:lineRule="atLeast"/>
        <w:ind w:firstLine="709"/>
        <w:jc w:val="both"/>
        <w:rPr>
          <w:rFonts w:ascii="Arial" w:hAnsi="Arial" w:cs="Arial"/>
        </w:rPr>
      </w:pPr>
      <w:r w:rsidRPr="00535C8E">
        <w:rPr>
          <w:rFonts w:ascii="Arial" w:eastAsia="Arial" w:hAnsi="Arial" w:cs="Arial"/>
          <w:color w:val="000000"/>
        </w:rPr>
        <w:t> </w:t>
      </w:r>
    </w:p>
    <w:p w:rsidR="00F8545A" w:rsidRPr="00535C8E" w:rsidRDefault="00F31069">
      <w:pPr>
        <w:spacing w:line="276" w:lineRule="atLeast"/>
        <w:ind w:firstLine="709"/>
        <w:jc w:val="both"/>
        <w:rPr>
          <w:rFonts w:ascii="Arial" w:hAnsi="Arial" w:cs="Arial"/>
        </w:rPr>
      </w:pPr>
      <w:r w:rsidRPr="00535C8E">
        <w:rPr>
          <w:rFonts w:ascii="Arial" w:eastAsia="Arial" w:hAnsi="Arial" w:cs="Arial"/>
          <w:color w:val="000000"/>
        </w:rPr>
        <w:t>L’acquisition de référence peut se faire de différentes manières : vectorisation par Mobile Mapping</w:t>
      </w:r>
      <w:r w:rsidRPr="00535C8E">
        <w:rPr>
          <w:rFonts w:ascii="Arial" w:eastAsia="Arial" w:hAnsi="Arial" w:cs="Arial"/>
          <w:color w:val="000000"/>
        </w:rPr>
        <w:t> ; Photogrammétrie ; autres types d’acquisitions d’images ou de nuages de points ; voire, si besoin, dans certaines conditions particulières, levers traditionnels à l’aide de GNSS ou de stations topographiques.</w:t>
      </w:r>
    </w:p>
    <w:p w:rsidR="00F8545A" w:rsidRPr="00535C8E" w:rsidRDefault="00F31069">
      <w:pPr>
        <w:spacing w:line="276" w:lineRule="atLeast"/>
        <w:ind w:firstLine="709"/>
        <w:jc w:val="both"/>
        <w:rPr>
          <w:rFonts w:ascii="Arial" w:hAnsi="Arial" w:cs="Arial"/>
        </w:rPr>
      </w:pPr>
      <w:r w:rsidRPr="00535C8E">
        <w:rPr>
          <w:rFonts w:ascii="Arial" w:eastAsia="Arial" w:hAnsi="Arial" w:cs="Arial"/>
          <w:color w:val="000000"/>
        </w:rPr>
        <w:t>L’APLC peut, le cas échéant, lever les affleu</w:t>
      </w:r>
      <w:r w:rsidRPr="00535C8E">
        <w:rPr>
          <w:rFonts w:ascii="Arial" w:eastAsia="Arial" w:hAnsi="Arial" w:cs="Arial"/>
          <w:color w:val="000000"/>
        </w:rPr>
        <w:t>rants, voire qualifier leurs natures ou les faire qualifier par les exploitants de réseaux. Cependant ce n’est pas une obligation de l’APLC et le PCRS est alors sans affleurant, constitué par le linéaire de voirie, les bâtiments, etc.</w:t>
      </w:r>
    </w:p>
    <w:p w:rsidR="00F8545A" w:rsidRPr="00535C8E" w:rsidRDefault="00F31069">
      <w:pPr>
        <w:spacing w:line="276" w:lineRule="atLeast"/>
        <w:ind w:firstLine="709"/>
        <w:jc w:val="both"/>
        <w:rPr>
          <w:rFonts w:ascii="Arial" w:eastAsia="Arial" w:hAnsi="Arial" w:cs="Arial"/>
          <w:color w:val="000000"/>
        </w:rPr>
      </w:pPr>
      <w:r w:rsidRPr="00535C8E">
        <w:rPr>
          <w:rFonts w:ascii="Arial" w:eastAsia="Arial" w:hAnsi="Arial" w:cs="Arial"/>
          <w:color w:val="000000"/>
        </w:rPr>
        <w:lastRenderedPageBreak/>
        <w:t>Les affleurants métie</w:t>
      </w:r>
      <w:r w:rsidRPr="00535C8E">
        <w:rPr>
          <w:rFonts w:ascii="Arial" w:eastAsia="Arial" w:hAnsi="Arial" w:cs="Arial"/>
          <w:color w:val="000000"/>
        </w:rPr>
        <w:t>rs des exploitants de réseaux peuvent alors s’y superposer.</w:t>
      </w:r>
    </w:p>
    <w:p w:rsidR="00F8545A" w:rsidRPr="00535C8E" w:rsidRDefault="00F31069">
      <w:pPr>
        <w:spacing w:line="276" w:lineRule="atLeast"/>
        <w:ind w:firstLine="709"/>
        <w:jc w:val="both"/>
        <w:rPr>
          <w:rFonts w:ascii="Arial" w:eastAsia="Arial" w:hAnsi="Arial" w:cs="Arial"/>
          <w:color w:val="000000"/>
        </w:rPr>
      </w:pPr>
      <w:r w:rsidRPr="00535C8E">
        <w:rPr>
          <w:rFonts w:ascii="Arial" w:eastAsia="Arial" w:hAnsi="Arial" w:cs="Arial"/>
          <w:color w:val="000000"/>
        </w:rPr>
        <w:t xml:space="preserve">Comme énoncé au paragraphe précédent, 4.1.1, le format d’échange est le GML conforme aux spécifications du CNIG en matière de PCRS. </w:t>
      </w:r>
      <w:r w:rsidRPr="00535C8E">
        <w:rPr>
          <w:rFonts w:ascii="Arial" w:eastAsia="Arial" w:hAnsi="Arial" w:cs="Arial"/>
          <w:i/>
          <w:color w:val="000000"/>
        </w:rPr>
        <w:t>A</w:t>
      </w:r>
      <w:r w:rsidRPr="00535C8E">
        <w:rPr>
          <w:rFonts w:ascii="Arial" w:eastAsia="Arial" w:hAnsi="Arial" w:cs="Arial"/>
          <w:color w:val="000000"/>
        </w:rPr>
        <w:t xml:space="preserve"> </w:t>
      </w:r>
      <w:r w:rsidRPr="00535C8E">
        <w:rPr>
          <w:rFonts w:ascii="Arial" w:eastAsia="Arial" w:hAnsi="Arial" w:cs="Arial"/>
          <w:i/>
          <w:color w:val="000000"/>
        </w:rPr>
        <w:t>a minima</w:t>
      </w:r>
      <w:r w:rsidRPr="00535C8E">
        <w:rPr>
          <w:rFonts w:ascii="Arial" w:eastAsia="Arial" w:hAnsi="Arial" w:cs="Arial"/>
          <w:color w:val="000000"/>
        </w:rPr>
        <w:t>, il doit se révéler être</w:t>
      </w:r>
      <w:r w:rsidRPr="00535C8E">
        <w:rPr>
          <w:rFonts w:ascii="Arial" w:eastAsia="Arial" w:hAnsi="Arial" w:cs="Arial"/>
          <w:color w:val="000000"/>
        </w:rPr>
        <w:t xml:space="preserve"> conforme après vérification </w:t>
      </w:r>
      <w:r w:rsidRPr="00535C8E">
        <w:rPr>
          <w:rFonts w:ascii="Arial" w:eastAsia="Arial" w:hAnsi="Arial" w:cs="Arial"/>
          <w:color w:val="000000"/>
        </w:rPr>
        <w:t>de sa structure via l’outil</w:t>
      </w:r>
      <w:r w:rsidRPr="00535C8E">
        <w:rPr>
          <w:rStyle w:val="Appelnotedebasdep"/>
          <w:rFonts w:ascii="Arial" w:eastAsia="Arial" w:hAnsi="Arial" w:cs="Arial"/>
          <w:color w:val="000000"/>
        </w:rPr>
        <w:footnoteReference w:id="11"/>
      </w:r>
      <w:r w:rsidRPr="00535C8E">
        <w:rPr>
          <w:rFonts w:ascii="Arial" w:eastAsia="Arial" w:hAnsi="Arial" w:cs="Arial"/>
          <w:color w:val="000000"/>
        </w:rPr>
        <w:t xml:space="preserve"> de validation mis à disposition par l’IGN.</w:t>
      </w:r>
    </w:p>
    <w:p w:rsidR="00F8545A" w:rsidRPr="00535C8E" w:rsidRDefault="00F31069">
      <w:pPr>
        <w:spacing w:line="276" w:lineRule="atLeast"/>
        <w:rPr>
          <w:rFonts w:ascii="Arial" w:hAnsi="Arial" w:cs="Arial"/>
        </w:rPr>
      </w:pPr>
      <w:r w:rsidRPr="00535C8E">
        <w:rPr>
          <w:rFonts w:ascii="Arial" w:eastAsia="Arial" w:hAnsi="Arial" w:cs="Arial"/>
          <w:color w:val="000000"/>
        </w:rPr>
        <w:t> </w:t>
      </w:r>
    </w:p>
    <w:p w:rsidR="00F8545A" w:rsidRPr="00535C8E" w:rsidRDefault="00F31069">
      <w:pPr>
        <w:pStyle w:val="Titre4"/>
        <w:spacing w:before="120" w:after="80" w:line="276" w:lineRule="atLeast"/>
        <w:rPr>
          <w:rFonts w:ascii="Arial" w:hAnsi="Arial" w:cs="Arial"/>
        </w:rPr>
      </w:pPr>
      <w:bookmarkStart w:id="19" w:name="_Toc18"/>
      <w:r w:rsidRPr="00535C8E">
        <w:rPr>
          <w:rFonts w:ascii="Arial" w:eastAsia="Arial" w:hAnsi="Arial" w:cs="Arial"/>
        </w:rPr>
        <w:t>4.1.2.2 Le RTGE (ou PCRC)</w:t>
      </w:r>
      <w:bookmarkEnd w:id="19"/>
    </w:p>
    <w:p w:rsidR="00F8545A" w:rsidRPr="00535C8E" w:rsidRDefault="00F31069">
      <w:pPr>
        <w:spacing w:line="276" w:lineRule="atLeast"/>
        <w:ind w:firstLine="709"/>
        <w:jc w:val="both"/>
        <w:rPr>
          <w:rFonts w:ascii="Arial" w:hAnsi="Arial" w:cs="Arial"/>
        </w:rPr>
      </w:pPr>
      <w:r w:rsidRPr="00535C8E">
        <w:rPr>
          <w:rFonts w:ascii="Arial" w:eastAsia="Arial" w:hAnsi="Arial" w:cs="Arial"/>
          <w:color w:val="000000"/>
        </w:rPr>
        <w:t>Le Référentiel Très Grande Echelle est plus riche en données que le PCRS.</w:t>
      </w:r>
    </w:p>
    <w:p w:rsidR="00F8545A" w:rsidRPr="00535C8E" w:rsidRDefault="00F31069">
      <w:pPr>
        <w:spacing w:line="276" w:lineRule="atLeast"/>
        <w:ind w:firstLine="709"/>
        <w:jc w:val="both"/>
        <w:rPr>
          <w:rFonts w:ascii="Arial" w:hAnsi="Arial" w:cs="Arial"/>
        </w:rPr>
      </w:pPr>
      <w:r w:rsidRPr="00535C8E">
        <w:rPr>
          <w:rFonts w:ascii="Arial" w:eastAsia="Arial" w:hAnsi="Arial" w:cs="Arial"/>
          <w:color w:val="000000"/>
        </w:rPr>
        <w:t>Outre les affleurants utiles pour repositio</w:t>
      </w:r>
      <w:r w:rsidRPr="00535C8E">
        <w:rPr>
          <w:rFonts w:ascii="Arial" w:eastAsia="Arial" w:hAnsi="Arial" w:cs="Arial"/>
          <w:color w:val="000000"/>
        </w:rPr>
        <w:t>nner des réseaux, on peut y trouver le mobilier urbain léger, la signalisation verticale, voire horizontale, etc. Plus largement tous les éléments utiles aux gestionnaires de voiries ou autres informations nécessaires à la collectivité peuvent y être repré</w:t>
      </w:r>
      <w:r w:rsidRPr="00535C8E">
        <w:rPr>
          <w:rFonts w:ascii="Arial" w:eastAsia="Arial" w:hAnsi="Arial" w:cs="Arial"/>
          <w:color w:val="000000"/>
        </w:rPr>
        <w:t>sentés.</w:t>
      </w:r>
    </w:p>
    <w:p w:rsidR="00F8545A" w:rsidRPr="00535C8E" w:rsidRDefault="00F31069">
      <w:pPr>
        <w:spacing w:line="276" w:lineRule="atLeast"/>
        <w:ind w:firstLine="709"/>
        <w:jc w:val="both"/>
        <w:rPr>
          <w:rFonts w:ascii="Arial" w:hAnsi="Arial" w:cs="Arial"/>
        </w:rPr>
      </w:pPr>
      <w:r w:rsidRPr="00535C8E">
        <w:rPr>
          <w:rFonts w:ascii="Arial" w:eastAsia="Arial" w:hAnsi="Arial" w:cs="Arial"/>
          <w:color w:val="000000"/>
        </w:rPr>
        <w:t>Sous cette forme, il n’a pas vocation à être utilisé pour répondre à la réglementation DT/DICT.</w:t>
      </w:r>
    </w:p>
    <w:p w:rsidR="00F8545A" w:rsidRPr="00535C8E" w:rsidRDefault="00F31069">
      <w:pPr>
        <w:spacing w:line="276" w:lineRule="atLeast"/>
        <w:ind w:firstLine="709"/>
        <w:jc w:val="both"/>
        <w:rPr>
          <w:rFonts w:ascii="Arial" w:hAnsi="Arial" w:cs="Arial"/>
        </w:rPr>
      </w:pPr>
      <w:r w:rsidRPr="00535C8E">
        <w:rPr>
          <w:rFonts w:ascii="Arial" w:eastAsia="Arial" w:hAnsi="Arial" w:cs="Arial"/>
          <w:color w:val="000000"/>
        </w:rPr>
        <w:t>Ces couches d’objets spécifiques supplémentaires ne sont donc pas fournies aux exploitants de réseaux, sauf à si l’un d’eux en fait la demande. Elles pe</w:t>
      </w:r>
      <w:r w:rsidRPr="00535C8E">
        <w:rPr>
          <w:rFonts w:ascii="Arial" w:eastAsia="Arial" w:hAnsi="Arial" w:cs="Arial"/>
          <w:color w:val="000000"/>
        </w:rPr>
        <w:t>uvent alors représenter un surcoût pour ce dernier.</w:t>
      </w:r>
    </w:p>
    <w:p w:rsidR="00F8545A" w:rsidRPr="00535C8E" w:rsidRDefault="00F31069">
      <w:pPr>
        <w:spacing w:line="276" w:lineRule="atLeast"/>
        <w:ind w:left="720"/>
        <w:rPr>
          <w:rFonts w:ascii="Arial" w:hAnsi="Arial" w:cs="Arial"/>
        </w:rPr>
      </w:pPr>
      <w:r w:rsidRPr="00535C8E">
        <w:rPr>
          <w:rFonts w:ascii="Arial" w:eastAsia="Arial" w:hAnsi="Arial" w:cs="Arial"/>
          <w:color w:val="000000"/>
        </w:rPr>
        <w:t> </w:t>
      </w:r>
    </w:p>
    <w:p w:rsidR="00F8545A" w:rsidRPr="00535C8E" w:rsidRDefault="00F31069">
      <w:pPr>
        <w:pStyle w:val="Titre4"/>
        <w:spacing w:before="120" w:after="80" w:line="276" w:lineRule="atLeast"/>
        <w:rPr>
          <w:rFonts w:ascii="Arial" w:hAnsi="Arial" w:cs="Arial"/>
        </w:rPr>
      </w:pPr>
      <w:bookmarkStart w:id="20" w:name="_Toc19"/>
      <w:r w:rsidRPr="00535C8E">
        <w:rPr>
          <w:rFonts w:ascii="Arial" w:eastAsia="Arial" w:hAnsi="Arial" w:cs="Arial"/>
        </w:rPr>
        <w:t>4.1.2.3 PCRS Raster</w:t>
      </w:r>
      <w:bookmarkEnd w:id="20"/>
    </w:p>
    <w:p w:rsidR="00F8545A" w:rsidRPr="00535C8E" w:rsidRDefault="00F31069">
      <w:pPr>
        <w:spacing w:line="276" w:lineRule="atLeast"/>
        <w:ind w:firstLine="709"/>
        <w:jc w:val="both"/>
        <w:rPr>
          <w:rFonts w:ascii="Arial" w:hAnsi="Arial" w:cs="Arial"/>
        </w:rPr>
      </w:pPr>
      <w:r w:rsidRPr="00535C8E">
        <w:rPr>
          <w:rFonts w:ascii="Arial" w:eastAsia="Arial" w:hAnsi="Arial" w:cs="Arial"/>
          <w:color w:val="000000"/>
        </w:rPr>
        <w:t> Le PCRS Raster est composé d’orthophotoplans de pixel 5 cm maximum, de précision 10 cm, répondant à la norme PCRS V2, entrant dans la classe d’objets RasterPCRS.</w:t>
      </w:r>
    </w:p>
    <w:p w:rsidR="00F8545A" w:rsidRPr="00535C8E" w:rsidRDefault="00F31069">
      <w:pPr>
        <w:spacing w:line="276" w:lineRule="atLeast"/>
        <w:ind w:firstLine="709"/>
        <w:jc w:val="both"/>
        <w:rPr>
          <w:rFonts w:ascii="Arial" w:hAnsi="Arial" w:cs="Arial"/>
        </w:rPr>
      </w:pPr>
      <w:r w:rsidRPr="00535C8E">
        <w:rPr>
          <w:rFonts w:ascii="Arial" w:eastAsia="Arial" w:hAnsi="Arial" w:cs="Arial"/>
          <w:color w:val="000000"/>
        </w:rPr>
        <w:t xml:space="preserve">La donnée est </w:t>
      </w:r>
      <w:r w:rsidRPr="00535C8E">
        <w:rPr>
          <w:rFonts w:ascii="Arial" w:eastAsia="Arial" w:hAnsi="Arial" w:cs="Arial"/>
          <w:color w:val="000000"/>
        </w:rPr>
        <w:t>structurée selon les critères évoqués au paragraphe 4.1.1</w:t>
      </w:r>
    </w:p>
    <w:p w:rsidR="00F8545A" w:rsidRPr="00535C8E" w:rsidRDefault="00F31069">
      <w:pPr>
        <w:spacing w:line="276" w:lineRule="atLeast"/>
        <w:ind w:firstLine="709"/>
        <w:jc w:val="both"/>
        <w:rPr>
          <w:rFonts w:ascii="Arial" w:hAnsi="Arial" w:cs="Arial"/>
        </w:rPr>
      </w:pPr>
      <w:r w:rsidRPr="00535C8E">
        <w:rPr>
          <w:rFonts w:ascii="Arial" w:eastAsia="Arial" w:hAnsi="Arial" w:cs="Arial"/>
          <w:color w:val="000000"/>
        </w:rPr>
        <w:t>Des éléments vecteurs, répondant à la norme, affleurants, alignements de façade, numéros et noms de voies... peuvent y être ajoutés. Ils peuvent le cas échéant être fournis par les exploitants de r</w:t>
      </w:r>
      <w:r w:rsidRPr="00535C8E">
        <w:rPr>
          <w:rFonts w:ascii="Arial" w:eastAsia="Arial" w:hAnsi="Arial" w:cs="Arial"/>
          <w:color w:val="000000"/>
        </w:rPr>
        <w:t>éseaux. Ces éléments peuvent être notamment ajoutés dans des secteurs urbains denses, situations de canyon urbain, rues étroites ou avec ombrage fort.</w:t>
      </w:r>
    </w:p>
    <w:p w:rsidR="00F8545A" w:rsidRPr="00535C8E" w:rsidRDefault="00F8545A">
      <w:pPr>
        <w:spacing w:line="276" w:lineRule="atLeast"/>
        <w:ind w:left="720"/>
        <w:rPr>
          <w:rFonts w:ascii="Arial" w:eastAsia="Arial" w:hAnsi="Arial" w:cs="Arial"/>
        </w:rPr>
      </w:pPr>
    </w:p>
    <w:p w:rsidR="00F8545A" w:rsidRPr="00535C8E" w:rsidRDefault="00F31069">
      <w:pPr>
        <w:pStyle w:val="Titre4"/>
        <w:spacing w:before="120" w:after="80" w:line="276" w:lineRule="atLeast"/>
        <w:rPr>
          <w:rFonts w:ascii="Arial" w:hAnsi="Arial" w:cs="Arial"/>
        </w:rPr>
      </w:pPr>
      <w:bookmarkStart w:id="21" w:name="_Toc20"/>
      <w:r w:rsidRPr="00535C8E">
        <w:rPr>
          <w:rFonts w:ascii="Arial" w:eastAsia="Arial" w:hAnsi="Arial" w:cs="Arial"/>
        </w:rPr>
        <w:t>4.1.1.4 PCRS Mixte</w:t>
      </w:r>
      <w:bookmarkEnd w:id="21"/>
    </w:p>
    <w:p w:rsidR="00F8545A" w:rsidRPr="00535C8E" w:rsidRDefault="00F31069">
      <w:pPr>
        <w:spacing w:line="276" w:lineRule="atLeast"/>
        <w:ind w:firstLine="709"/>
        <w:jc w:val="both"/>
        <w:rPr>
          <w:rFonts w:ascii="Arial" w:hAnsi="Arial" w:cs="Arial"/>
        </w:rPr>
      </w:pPr>
      <w:r w:rsidRPr="00535C8E">
        <w:rPr>
          <w:rFonts w:ascii="Arial" w:eastAsia="Arial" w:hAnsi="Arial" w:cs="Arial"/>
          <w:color w:val="000000"/>
        </w:rPr>
        <w:t>Le PCRS Mixte est constitué par la superposition, dans certains secteurs, de plans PC</w:t>
      </w:r>
      <w:r w:rsidRPr="00535C8E">
        <w:rPr>
          <w:rFonts w:ascii="Arial" w:eastAsia="Arial" w:hAnsi="Arial" w:cs="Arial"/>
          <w:color w:val="000000"/>
        </w:rPr>
        <w:t>RS Vecteurs et de PCRS Raster.</w:t>
      </w:r>
    </w:p>
    <w:p w:rsidR="00F8545A" w:rsidRPr="00535C8E" w:rsidRDefault="00F31069">
      <w:pPr>
        <w:spacing w:line="276" w:lineRule="atLeast"/>
        <w:ind w:firstLine="709"/>
        <w:jc w:val="both"/>
        <w:rPr>
          <w:rFonts w:ascii="Arial" w:hAnsi="Arial" w:cs="Arial"/>
        </w:rPr>
      </w:pPr>
      <w:r w:rsidRPr="00535C8E">
        <w:rPr>
          <w:rFonts w:ascii="Arial" w:eastAsia="Arial" w:hAnsi="Arial" w:cs="Arial"/>
          <w:color w:val="000000"/>
        </w:rPr>
        <w:t>Cela concerne essentiellement les zones urbaines, voire périurbaines.</w:t>
      </w:r>
    </w:p>
    <w:p w:rsidR="00F8545A" w:rsidRPr="00535C8E" w:rsidRDefault="00F31069">
      <w:pPr>
        <w:spacing w:line="276" w:lineRule="atLeast"/>
        <w:ind w:firstLine="709"/>
        <w:jc w:val="both"/>
        <w:rPr>
          <w:rFonts w:ascii="Arial" w:hAnsi="Arial" w:cs="Arial"/>
        </w:rPr>
      </w:pPr>
      <w:r w:rsidRPr="00535C8E">
        <w:rPr>
          <w:rFonts w:ascii="Arial" w:eastAsia="Arial" w:hAnsi="Arial" w:cs="Arial"/>
          <w:color w:val="000000"/>
        </w:rPr>
        <w:t xml:space="preserve">Le PCRS peut être Mixte sur l’ensemble du territoire de l’APLC ou dans des zones sensibles, stratégiques, hypercentres, communes métropoles ou </w:t>
      </w:r>
      <w:r w:rsidRPr="00535C8E">
        <w:rPr>
          <w:rFonts w:ascii="Arial" w:eastAsia="Arial" w:hAnsi="Arial" w:cs="Arial"/>
          <w:color w:val="000000"/>
        </w:rPr>
        <w:t>agglomérations, zones gaz le cas échéant.</w:t>
      </w:r>
    </w:p>
    <w:p w:rsidR="00F8545A" w:rsidRPr="00535C8E" w:rsidRDefault="00F8545A">
      <w:pPr>
        <w:rPr>
          <w:rFonts w:ascii="Arial" w:hAnsi="Arial" w:cs="Arial"/>
        </w:rPr>
      </w:pPr>
    </w:p>
    <w:p w:rsidR="00F8545A" w:rsidRPr="00535C8E" w:rsidRDefault="00F31069">
      <w:pPr>
        <w:pStyle w:val="Titre3"/>
        <w:numPr>
          <w:ilvl w:val="2"/>
          <w:numId w:val="8"/>
        </w:numPr>
        <w:rPr>
          <w:rFonts w:ascii="Arial" w:hAnsi="Arial" w:cs="Arial"/>
        </w:rPr>
      </w:pPr>
      <w:bookmarkStart w:id="22" w:name="_Toc21"/>
      <w:r w:rsidRPr="00535C8E">
        <w:rPr>
          <w:rFonts w:ascii="Arial" w:hAnsi="Arial" w:cs="Arial"/>
        </w:rPr>
        <w:lastRenderedPageBreak/>
        <w:t>S’il n’y a pas de PCRS sur le territoire, que doit faire l'exploitant</w:t>
      </w:r>
      <w:bookmarkEnd w:id="22"/>
    </w:p>
    <w:p w:rsidR="00F8545A" w:rsidRPr="00535C8E" w:rsidRDefault="00F31069">
      <w:pPr>
        <w:spacing w:line="276" w:lineRule="atLeast"/>
        <w:ind w:firstLine="708"/>
        <w:jc w:val="both"/>
        <w:rPr>
          <w:rFonts w:ascii="Arial" w:hAnsi="Arial" w:cs="Arial"/>
        </w:rPr>
      </w:pPr>
      <w:r w:rsidRPr="00535C8E">
        <w:rPr>
          <w:rFonts w:ascii="Arial" w:eastAsia="Arial" w:hAnsi="Arial" w:cs="Arial"/>
          <w:color w:val="000000"/>
        </w:rPr>
        <w:t>En l’absence de PCRS disponible sur le territoire</w:t>
      </w:r>
      <w:r w:rsidRPr="00535C8E">
        <w:rPr>
          <w:rStyle w:val="Appelnotedebasdep"/>
          <w:rFonts w:ascii="Arial" w:eastAsia="Arial" w:hAnsi="Arial" w:cs="Arial"/>
          <w:color w:val="000000"/>
        </w:rPr>
        <w:footnoteReference w:id="12"/>
      </w:r>
      <w:r w:rsidRPr="00535C8E">
        <w:rPr>
          <w:rFonts w:ascii="Arial" w:eastAsia="Arial" w:hAnsi="Arial" w:cs="Arial"/>
          <w:color w:val="000000"/>
        </w:rPr>
        <w:t>, les plans produits par l’exploitant en réponse aux DT-DICT s’appuient sur un fond de plan constitué par ses soins ou dans le cadre d’un partenariat non PCRS ou d’un autre fond de plan disponible, compatibl</w:t>
      </w:r>
      <w:r w:rsidRPr="00535C8E">
        <w:rPr>
          <w:rFonts w:ascii="Arial" w:eastAsia="Arial" w:hAnsi="Arial" w:cs="Arial"/>
          <w:color w:val="000000"/>
        </w:rPr>
        <w:t>e avec la représentation en classe de précision A de ses ouvrages.</w:t>
      </w:r>
    </w:p>
    <w:p w:rsidR="00F8545A" w:rsidRPr="00535C8E" w:rsidRDefault="00F31069">
      <w:pPr>
        <w:spacing w:line="276" w:lineRule="atLeast"/>
        <w:ind w:firstLine="708"/>
        <w:jc w:val="both"/>
        <w:rPr>
          <w:rFonts w:ascii="Arial" w:eastAsia="Arial" w:hAnsi="Arial" w:cs="Arial"/>
          <w:color w:val="000000"/>
        </w:rPr>
      </w:pPr>
      <w:r w:rsidRPr="00535C8E">
        <w:rPr>
          <w:rFonts w:ascii="Arial" w:eastAsia="Arial" w:hAnsi="Arial" w:cs="Arial"/>
          <w:color w:val="000000"/>
        </w:rPr>
        <w:t>Dans les zones comportant peu d’objets précisément définis de la voirie (zones naturelles, voirie sans limites précisément définies…), il est admis qu’un fond de plan moins résolu ou précis</w:t>
      </w:r>
      <w:r w:rsidRPr="00535C8E">
        <w:rPr>
          <w:rFonts w:ascii="Arial" w:eastAsia="Arial" w:hAnsi="Arial" w:cs="Arial"/>
          <w:color w:val="000000"/>
        </w:rPr>
        <w:t xml:space="preserve"> amène des informations contextuelles équivalentes à un fond de plan de classe de précision A. Dans ces zones, l’usage de fonds de plan du RGE de l’IGN, comme le produit HR20, est suffisant.</w:t>
      </w:r>
    </w:p>
    <w:p w:rsidR="00F8545A" w:rsidRPr="00535C8E" w:rsidRDefault="00F31069">
      <w:pPr>
        <w:spacing w:line="276" w:lineRule="atLeast"/>
        <w:ind w:firstLine="708"/>
        <w:jc w:val="both"/>
        <w:rPr>
          <w:rFonts w:ascii="Arial" w:hAnsi="Arial" w:cs="Arial"/>
        </w:rPr>
      </w:pPr>
      <w:r w:rsidRPr="00535C8E">
        <w:rPr>
          <w:rFonts w:ascii="Arial" w:eastAsia="Arial" w:hAnsi="Arial" w:cs="Arial"/>
          <w:color w:val="000000"/>
        </w:rPr>
        <w:t>Les exploitants peuvent se tourner vers les services de l’Etat (p</w:t>
      </w:r>
      <w:r w:rsidRPr="00535C8E">
        <w:rPr>
          <w:rFonts w:ascii="Arial" w:eastAsia="Arial" w:hAnsi="Arial" w:cs="Arial"/>
          <w:color w:val="000000"/>
        </w:rPr>
        <w:t>réfectures, DREAL) pour les informer de l’impossibilité de respecter la réglementation en l’absence de PCRS disponible sur le territoire.</w:t>
      </w:r>
    </w:p>
    <w:p w:rsidR="00F8545A" w:rsidRPr="00535C8E" w:rsidRDefault="00F8545A">
      <w:pPr>
        <w:rPr>
          <w:rFonts w:ascii="Arial" w:hAnsi="Arial" w:cs="Arial"/>
        </w:rPr>
      </w:pPr>
    </w:p>
    <w:p w:rsidR="00F8545A" w:rsidRPr="00535C8E" w:rsidRDefault="00F31069">
      <w:pPr>
        <w:pStyle w:val="Titre2"/>
        <w:numPr>
          <w:ilvl w:val="1"/>
          <w:numId w:val="8"/>
        </w:numPr>
        <w:rPr>
          <w:rFonts w:ascii="Arial" w:hAnsi="Arial" w:cs="Arial"/>
        </w:rPr>
      </w:pPr>
      <w:bookmarkStart w:id="23" w:name="_Toc22"/>
      <w:r w:rsidRPr="00535C8E">
        <w:rPr>
          <w:rFonts w:ascii="Arial" w:hAnsi="Arial" w:cs="Arial"/>
        </w:rPr>
        <w:tab/>
        <w:t>Critères de conformité technique au terme "Disponible"</w:t>
      </w:r>
      <w:bookmarkEnd w:id="23"/>
    </w:p>
    <w:p w:rsidR="00F8545A" w:rsidRPr="00535C8E" w:rsidRDefault="00F31069">
      <w:pPr>
        <w:rPr>
          <w:rFonts w:ascii="Arial" w:hAnsi="Arial" w:cs="Arial"/>
        </w:rPr>
      </w:pPr>
      <w:r w:rsidRPr="00535C8E">
        <w:rPr>
          <w:rFonts w:ascii="Arial" w:hAnsi="Arial" w:cs="Arial"/>
        </w:rPr>
        <w:t>La diffusion doit être assurée par deux modes : par flux et p</w:t>
      </w:r>
      <w:r w:rsidRPr="00535C8E">
        <w:rPr>
          <w:rFonts w:ascii="Arial" w:hAnsi="Arial" w:cs="Arial"/>
        </w:rPr>
        <w:t>ar téléchargement physique des données de manière à permettre son utilisation par l’ensemble des acteurs.</w:t>
      </w:r>
    </w:p>
    <w:p w:rsidR="00F8545A" w:rsidRPr="00535C8E" w:rsidRDefault="00F31069">
      <w:pPr>
        <w:pStyle w:val="Titre3"/>
        <w:numPr>
          <w:ilvl w:val="2"/>
          <w:numId w:val="8"/>
        </w:numPr>
        <w:rPr>
          <w:rFonts w:ascii="Arial" w:hAnsi="Arial" w:cs="Arial"/>
        </w:rPr>
      </w:pPr>
      <w:bookmarkStart w:id="24" w:name="_Ref184300988"/>
      <w:bookmarkStart w:id="25" w:name="_Toc23"/>
      <w:r w:rsidRPr="00535C8E">
        <w:rPr>
          <w:rFonts w:ascii="Arial" w:hAnsi="Arial" w:cs="Arial"/>
        </w:rPr>
        <w:t>Diffusion par flux</w:t>
      </w:r>
      <w:bookmarkEnd w:id="24"/>
      <w:bookmarkEnd w:id="25"/>
    </w:p>
    <w:p w:rsidR="00F8545A" w:rsidRPr="00535C8E" w:rsidRDefault="00F31069">
      <w:pPr>
        <w:rPr>
          <w:rFonts w:ascii="Arial" w:hAnsi="Arial" w:cs="Arial"/>
        </w:rPr>
      </w:pPr>
      <w:r w:rsidRPr="00535C8E">
        <w:rPr>
          <w:rFonts w:ascii="Arial" w:hAnsi="Arial" w:cs="Arial"/>
        </w:rPr>
        <w:t>L’IGN opère la Geoplateforme, infrastructure collaborative et mutualisée pour la diffusion des géodonnées. Conformément au mandat q</w:t>
      </w:r>
      <w:r w:rsidRPr="00535C8E">
        <w:rPr>
          <w:rFonts w:ascii="Arial" w:hAnsi="Arial" w:cs="Arial"/>
        </w:rPr>
        <w:t>ui lui a été confié par la Direction générale de la Prévention des risques , l’IGN a inclus à l’offre Géoplateforme des services dédiés à la diffusion des données PCRS.</w:t>
      </w:r>
    </w:p>
    <w:p w:rsidR="00F8545A" w:rsidRPr="00535C8E" w:rsidRDefault="00F31069">
      <w:pPr>
        <w:rPr>
          <w:rFonts w:ascii="Arial" w:hAnsi="Arial" w:cs="Arial"/>
        </w:rPr>
      </w:pPr>
      <w:r w:rsidRPr="00535C8E">
        <w:rPr>
          <w:rFonts w:ascii="Arial" w:hAnsi="Arial" w:cs="Arial"/>
        </w:rPr>
        <w:t xml:space="preserve">  </w:t>
      </w:r>
    </w:p>
    <w:p w:rsidR="00F8545A" w:rsidRPr="00535C8E" w:rsidRDefault="00F31069">
      <w:pPr>
        <w:rPr>
          <w:rFonts w:ascii="Arial" w:hAnsi="Arial" w:cs="Arial"/>
        </w:rPr>
      </w:pPr>
      <w:r w:rsidRPr="00535C8E">
        <w:rPr>
          <w:rFonts w:ascii="Arial" w:hAnsi="Arial" w:cs="Arial"/>
        </w:rPr>
        <w:t>Les autorités publiques locales compétentes (APLC) sont libres de souscrire l’offre</w:t>
      </w:r>
      <w:r w:rsidRPr="00535C8E">
        <w:rPr>
          <w:rFonts w:ascii="Arial" w:hAnsi="Arial" w:cs="Arial"/>
        </w:rPr>
        <w:t xml:space="preserve"> proposée par l’IGN ou de publier leur PCRS via l’infrastructure de leur choix. Dans cette seconde option et compte tenu de la volumétrie importante de la donnée PCRS, il est conseillé aux APLC de s’assurer que le service proposé est correctement dimension</w:t>
      </w:r>
      <w:r w:rsidRPr="00535C8E">
        <w:rPr>
          <w:rFonts w:ascii="Arial" w:hAnsi="Arial" w:cs="Arial"/>
        </w:rPr>
        <w:t xml:space="preserve">né, tant en termes de stockage que de transit.  </w:t>
      </w:r>
    </w:p>
    <w:p w:rsidR="00F8545A" w:rsidRPr="00535C8E" w:rsidRDefault="00F31069">
      <w:pPr>
        <w:rPr>
          <w:rFonts w:ascii="Arial" w:hAnsi="Arial" w:cs="Arial"/>
        </w:rPr>
      </w:pPr>
      <w:r w:rsidRPr="00535C8E">
        <w:rPr>
          <w:rFonts w:ascii="Arial" w:hAnsi="Arial" w:cs="Arial"/>
        </w:rPr>
        <w:t xml:space="preserve"> </w:t>
      </w:r>
    </w:p>
    <w:p w:rsidR="00F8545A" w:rsidRPr="00535C8E" w:rsidRDefault="00F31069">
      <w:pPr>
        <w:rPr>
          <w:rFonts w:ascii="Arial" w:hAnsi="Arial" w:cs="Arial"/>
        </w:rPr>
      </w:pPr>
      <w:r w:rsidRPr="00535C8E">
        <w:rPr>
          <w:rFonts w:ascii="Arial" w:hAnsi="Arial" w:cs="Arial"/>
        </w:rPr>
        <w:t>Dès lors que son PCRS est hébergé et diffusé, l’APLC doit indiquer l’url du flux de données associé dans la base de suivi géographique des PCRS . Cela permet ensuite que ces données soient ajoutées au « fl</w:t>
      </w:r>
      <w:r w:rsidRPr="00535C8E">
        <w:rPr>
          <w:rFonts w:ascii="Arial" w:hAnsi="Arial" w:cs="Arial"/>
        </w:rPr>
        <w:t>ux PCRS national agrégé ». Ce service développé par l’IGN permet d’avoir un point d’entrée unique, sous la forme d’une seule URL, vers l’ensemble des PCRS rendus accessibles par les APLC. Un tel point d’entrée unique, demandé par la DGPR, est particulièrem</w:t>
      </w:r>
      <w:r w:rsidRPr="00535C8E">
        <w:rPr>
          <w:rFonts w:ascii="Arial" w:hAnsi="Arial" w:cs="Arial"/>
        </w:rPr>
        <w:t xml:space="preserve">ent utile pour les gestionnaires de réseaux nationaux et pour leurs prestataires. Il est à noter qu’un </w:t>
      </w:r>
      <w:r w:rsidRPr="00535C8E">
        <w:rPr>
          <w:rFonts w:ascii="Arial" w:hAnsi="Arial" w:cs="Arial"/>
        </w:rPr>
        <w:lastRenderedPageBreak/>
        <w:t xml:space="preserve">seul flux par type de données (raster ou vecteur) doit être indiqué par APLC dans la base de suivi géographique des PCRS. Seul le protocole WMS conforme </w:t>
      </w:r>
      <w:r w:rsidRPr="00535C8E">
        <w:rPr>
          <w:rFonts w:ascii="Arial" w:hAnsi="Arial" w:cs="Arial"/>
        </w:rPr>
        <w:t>à la norme OGC est aujourd’hui compatible avec le flux PCRS national agrégé, il est donc recommandé.</w:t>
      </w:r>
    </w:p>
    <w:p w:rsidR="007475C7" w:rsidRDefault="007475C7">
      <w:r>
        <w:br w:type="page"/>
      </w:r>
    </w:p>
    <w:p w:rsidR="00F8545A" w:rsidRDefault="00F8545A">
      <w:pPr>
        <w:tabs>
          <w:tab w:val="left" w:pos="1521"/>
        </w:tabs>
        <w:jc w:val="both"/>
      </w:pPr>
    </w:p>
    <w:p w:rsidR="00F8545A" w:rsidRPr="007475C7" w:rsidRDefault="00F31069">
      <w:pPr>
        <w:pStyle w:val="Titre3"/>
        <w:numPr>
          <w:ilvl w:val="2"/>
          <w:numId w:val="8"/>
        </w:numPr>
        <w:rPr>
          <w:rFonts w:ascii="Arial" w:hAnsi="Arial" w:cs="Arial"/>
        </w:rPr>
      </w:pPr>
      <w:bookmarkStart w:id="26" w:name="_Toc24"/>
      <w:r w:rsidRPr="007475C7">
        <w:rPr>
          <w:rFonts w:ascii="Arial" w:hAnsi="Arial" w:cs="Arial"/>
        </w:rPr>
        <w:t>Téléchargement/Récupération physique des données</w:t>
      </w:r>
      <w:bookmarkEnd w:id="26"/>
    </w:p>
    <w:p w:rsidR="00F8545A" w:rsidRPr="007475C7" w:rsidRDefault="00F31069">
      <w:pPr>
        <w:tabs>
          <w:tab w:val="left" w:pos="1521"/>
        </w:tabs>
        <w:spacing w:line="276" w:lineRule="atLeast"/>
        <w:jc w:val="both"/>
        <w:rPr>
          <w:rFonts w:ascii="Arial" w:eastAsia="Arial" w:hAnsi="Arial" w:cs="Arial"/>
          <w:color w:val="000000"/>
        </w:rPr>
      </w:pPr>
      <w:r w:rsidRPr="007475C7">
        <w:rPr>
          <w:rFonts w:ascii="Arial" w:eastAsia="Arial" w:hAnsi="Arial" w:cs="Arial"/>
          <w:color w:val="000000"/>
        </w:rPr>
        <w:t xml:space="preserve">La récupération des dalles raster ou fichiers gml doit être possible </w:t>
      </w:r>
      <w:r w:rsidRPr="007475C7">
        <w:rPr>
          <w:rFonts w:ascii="Arial" w:eastAsia="Arial" w:hAnsi="Arial" w:cs="Arial"/>
          <w:color w:val="000000"/>
        </w:rPr>
        <w:t>pour que les exploitants ne souhaitant / ne pouvant exploiter les flux puissent les intégrer dans leur propre système d’information. Cette disponibilité peut être organisée soit par téléchargement massif, soit copie des données sur support physique.</w:t>
      </w:r>
    </w:p>
    <w:p w:rsidR="00F8545A" w:rsidRPr="007475C7" w:rsidRDefault="00F31069">
      <w:pPr>
        <w:tabs>
          <w:tab w:val="left" w:pos="1521"/>
        </w:tabs>
        <w:spacing w:line="276" w:lineRule="atLeast"/>
        <w:jc w:val="both"/>
        <w:rPr>
          <w:rFonts w:ascii="Arial" w:hAnsi="Arial" w:cs="Arial"/>
        </w:rPr>
      </w:pPr>
      <w:r w:rsidRPr="007475C7">
        <w:rPr>
          <w:rFonts w:ascii="Arial" w:eastAsia="Arial" w:hAnsi="Arial" w:cs="Arial"/>
          <w:color w:val="000000"/>
        </w:rPr>
        <w:t>Le tableau ci-après présente les données devant être rendues disponibles obligatoirement ou optionnellement aux exploitants.</w:t>
      </w:r>
    </w:p>
    <w:p w:rsidR="00F8545A" w:rsidRPr="007475C7" w:rsidRDefault="00F31069">
      <w:pPr>
        <w:spacing w:line="276" w:lineRule="atLeast"/>
        <w:rPr>
          <w:rFonts w:ascii="Arial" w:hAnsi="Arial" w:cs="Arial"/>
        </w:rPr>
      </w:pPr>
      <w:r w:rsidRPr="007475C7">
        <w:rPr>
          <w:rFonts w:ascii="Arial" w:eastAsia="Arial" w:hAnsi="Arial" w:cs="Arial"/>
          <w:color w:val="000000"/>
        </w:rPr>
        <w:t> </w:t>
      </w:r>
    </w:p>
    <w:tbl>
      <w:tblPr>
        <w:tblW w:w="0" w:type="auto"/>
        <w:tblLayout w:type="fixed"/>
        <w:tblCellMar>
          <w:left w:w="10" w:type="dxa"/>
          <w:right w:w="10" w:type="dxa"/>
        </w:tblCellMar>
        <w:tblLook w:val="0000" w:firstRow="0" w:lastRow="0" w:firstColumn="0" w:lastColumn="0" w:noHBand="0" w:noVBand="0"/>
      </w:tblPr>
      <w:tblGrid>
        <w:gridCol w:w="2966"/>
        <w:gridCol w:w="2967"/>
        <w:gridCol w:w="2967"/>
      </w:tblGrid>
      <w:tr w:rsidR="00F8545A" w:rsidRPr="007475C7">
        <w:tblPrEx>
          <w:tblCellMar>
            <w:top w:w="0" w:type="dxa"/>
            <w:bottom w:w="0" w:type="dxa"/>
          </w:tblCellMar>
        </w:tblPrEx>
        <w:tc>
          <w:tcPr>
            <w:tcW w:w="29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8545A" w:rsidRPr="007475C7" w:rsidRDefault="00F31069">
            <w:pPr>
              <w:spacing w:after="0" w:line="240" w:lineRule="auto"/>
              <w:rPr>
                <w:rFonts w:ascii="Arial" w:hAnsi="Arial" w:cs="Arial"/>
              </w:rPr>
            </w:pPr>
            <w:r w:rsidRPr="007475C7">
              <w:rPr>
                <w:rFonts w:ascii="Arial" w:eastAsia="Arial" w:hAnsi="Arial" w:cs="Arial"/>
                <w:b/>
                <w:color w:val="000000"/>
              </w:rPr>
              <w:t>Nature</w:t>
            </w:r>
          </w:p>
        </w:tc>
        <w:tc>
          <w:tcPr>
            <w:tcW w:w="2967" w:type="dxa"/>
            <w:tcBorders>
              <w:top w:val="single" w:sz="8" w:space="0" w:color="000000"/>
              <w:bottom w:val="single" w:sz="8" w:space="0" w:color="000000"/>
              <w:right w:val="single" w:sz="8" w:space="0" w:color="000000"/>
            </w:tcBorders>
            <w:tcMar>
              <w:top w:w="0" w:type="dxa"/>
              <w:left w:w="108" w:type="dxa"/>
              <w:bottom w:w="0" w:type="dxa"/>
              <w:right w:w="108" w:type="dxa"/>
            </w:tcMar>
          </w:tcPr>
          <w:p w:rsidR="00F8545A" w:rsidRPr="007475C7" w:rsidRDefault="00F31069">
            <w:pPr>
              <w:spacing w:after="0" w:line="240" w:lineRule="auto"/>
              <w:jc w:val="center"/>
              <w:rPr>
                <w:rFonts w:ascii="Arial" w:hAnsi="Arial" w:cs="Arial"/>
              </w:rPr>
            </w:pPr>
            <w:r w:rsidRPr="007475C7">
              <w:rPr>
                <w:rFonts w:ascii="Arial" w:eastAsia="Arial" w:hAnsi="Arial" w:cs="Arial"/>
                <w:b/>
                <w:color w:val="000000"/>
              </w:rPr>
              <w:t xml:space="preserve">Disponibilité </w:t>
            </w:r>
            <w:r w:rsidRPr="007475C7">
              <w:rPr>
                <w:rFonts w:ascii="Arial" w:eastAsia="Arial" w:hAnsi="Arial" w:cs="Arial"/>
                <w:b/>
                <w:color w:val="000000"/>
              </w:rPr>
              <w:br/>
            </w:r>
            <w:r w:rsidRPr="007475C7">
              <w:rPr>
                <w:rFonts w:ascii="Arial" w:eastAsia="Arial" w:hAnsi="Arial" w:cs="Arial"/>
                <w:b/>
                <w:color w:val="000000"/>
              </w:rPr>
              <w:t>obligatoire</w:t>
            </w:r>
          </w:p>
        </w:tc>
        <w:tc>
          <w:tcPr>
            <w:tcW w:w="2967" w:type="dxa"/>
            <w:tcBorders>
              <w:top w:val="single" w:sz="8" w:space="0" w:color="000000"/>
              <w:bottom w:val="single" w:sz="8" w:space="0" w:color="000000"/>
              <w:right w:val="single" w:sz="8" w:space="0" w:color="000000"/>
            </w:tcBorders>
            <w:tcMar>
              <w:top w:w="0" w:type="dxa"/>
              <w:left w:w="108" w:type="dxa"/>
              <w:bottom w:w="0" w:type="dxa"/>
              <w:right w:w="108" w:type="dxa"/>
            </w:tcMar>
          </w:tcPr>
          <w:p w:rsidR="00F8545A" w:rsidRPr="007475C7" w:rsidRDefault="00F31069">
            <w:pPr>
              <w:spacing w:after="0" w:line="240" w:lineRule="auto"/>
              <w:jc w:val="center"/>
              <w:rPr>
                <w:rFonts w:ascii="Arial" w:hAnsi="Arial" w:cs="Arial"/>
              </w:rPr>
            </w:pPr>
            <w:r w:rsidRPr="007475C7">
              <w:rPr>
                <w:rFonts w:ascii="Arial" w:eastAsia="Arial" w:hAnsi="Arial" w:cs="Arial"/>
                <w:b/>
                <w:color w:val="000000"/>
              </w:rPr>
              <w:t>Disponibilité optionnelle</w:t>
            </w:r>
          </w:p>
        </w:tc>
      </w:tr>
      <w:tr w:rsidR="00F8545A" w:rsidRPr="007475C7">
        <w:tblPrEx>
          <w:tblCellMar>
            <w:top w:w="0" w:type="dxa"/>
            <w:bottom w:w="0" w:type="dxa"/>
          </w:tblCellMar>
        </w:tblPrEx>
        <w:tc>
          <w:tcPr>
            <w:tcW w:w="8900" w:type="dxa"/>
            <w:gridSpan w:val="3"/>
            <w:tcBorders>
              <w:left w:val="single" w:sz="8" w:space="0" w:color="000000"/>
              <w:bottom w:val="single" w:sz="8" w:space="0" w:color="000000"/>
              <w:right w:val="single" w:sz="8" w:space="0" w:color="000000"/>
            </w:tcBorders>
            <w:tcMar>
              <w:top w:w="0" w:type="dxa"/>
              <w:left w:w="108" w:type="dxa"/>
              <w:bottom w:w="0" w:type="dxa"/>
              <w:right w:w="108" w:type="dxa"/>
            </w:tcMar>
          </w:tcPr>
          <w:p w:rsidR="00F8545A" w:rsidRPr="007475C7" w:rsidRDefault="00F31069">
            <w:pPr>
              <w:spacing w:after="0" w:line="240" w:lineRule="auto"/>
              <w:rPr>
                <w:rFonts w:ascii="Arial" w:hAnsi="Arial" w:cs="Arial"/>
              </w:rPr>
            </w:pPr>
            <w:r w:rsidRPr="007475C7">
              <w:rPr>
                <w:rFonts w:ascii="Arial" w:eastAsia="Arial" w:hAnsi="Arial" w:cs="Arial"/>
                <w:b/>
                <w:color w:val="000000"/>
              </w:rPr>
              <w:t>PCRS vecteur</w:t>
            </w:r>
          </w:p>
        </w:tc>
      </w:tr>
      <w:tr w:rsidR="00F8545A" w:rsidRPr="007475C7">
        <w:tblPrEx>
          <w:tblCellMar>
            <w:top w:w="0" w:type="dxa"/>
            <w:bottom w:w="0" w:type="dxa"/>
          </w:tblCellMar>
        </w:tblPrEx>
        <w:tc>
          <w:tcPr>
            <w:tcW w:w="2966" w:type="dxa"/>
            <w:tcBorders>
              <w:left w:val="single" w:sz="8" w:space="0" w:color="000000"/>
              <w:bottom w:val="single" w:sz="8" w:space="0" w:color="000000"/>
              <w:right w:val="single" w:sz="8" w:space="0" w:color="000000"/>
            </w:tcBorders>
            <w:tcMar>
              <w:top w:w="0" w:type="dxa"/>
              <w:left w:w="108" w:type="dxa"/>
              <w:bottom w:w="0" w:type="dxa"/>
              <w:right w:w="108" w:type="dxa"/>
            </w:tcMar>
          </w:tcPr>
          <w:p w:rsidR="00F8545A" w:rsidRPr="007475C7" w:rsidRDefault="00F31069">
            <w:pPr>
              <w:spacing w:after="0" w:line="240" w:lineRule="auto"/>
              <w:rPr>
                <w:rFonts w:ascii="Arial" w:hAnsi="Arial" w:cs="Arial"/>
              </w:rPr>
            </w:pPr>
            <w:r w:rsidRPr="007475C7">
              <w:rPr>
                <w:rFonts w:ascii="Arial" w:eastAsia="Arial" w:hAnsi="Arial" w:cs="Arial"/>
                <w:color w:val="000000"/>
              </w:rPr>
              <w:t>Fichiers gml</w:t>
            </w:r>
          </w:p>
        </w:tc>
        <w:tc>
          <w:tcPr>
            <w:tcW w:w="2967" w:type="dxa"/>
            <w:tcBorders>
              <w:bottom w:val="single" w:sz="8" w:space="0" w:color="000000"/>
              <w:right w:val="single" w:sz="8" w:space="0" w:color="000000"/>
            </w:tcBorders>
            <w:tcMar>
              <w:top w:w="0" w:type="dxa"/>
              <w:left w:w="108" w:type="dxa"/>
              <w:bottom w:w="0" w:type="dxa"/>
              <w:right w:w="108" w:type="dxa"/>
            </w:tcMar>
          </w:tcPr>
          <w:p w:rsidR="00F8545A" w:rsidRPr="007475C7" w:rsidRDefault="00F31069">
            <w:pPr>
              <w:spacing w:after="0" w:line="240" w:lineRule="auto"/>
              <w:jc w:val="center"/>
              <w:rPr>
                <w:rFonts w:ascii="Arial" w:hAnsi="Arial" w:cs="Arial"/>
              </w:rPr>
            </w:pPr>
            <w:r w:rsidRPr="007475C7">
              <w:rPr>
                <w:rFonts w:ascii="Arial" w:eastAsia="Arial" w:hAnsi="Arial" w:cs="Arial"/>
                <w:color w:val="000000"/>
              </w:rPr>
              <w:t>X</w:t>
            </w:r>
          </w:p>
        </w:tc>
        <w:tc>
          <w:tcPr>
            <w:tcW w:w="2967" w:type="dxa"/>
            <w:tcBorders>
              <w:bottom w:val="single" w:sz="8" w:space="0" w:color="000000"/>
              <w:right w:val="single" w:sz="8" w:space="0" w:color="000000"/>
            </w:tcBorders>
            <w:tcMar>
              <w:top w:w="0" w:type="dxa"/>
              <w:left w:w="108" w:type="dxa"/>
              <w:bottom w:w="0" w:type="dxa"/>
              <w:right w:w="108" w:type="dxa"/>
            </w:tcMar>
          </w:tcPr>
          <w:p w:rsidR="00F8545A" w:rsidRPr="007475C7" w:rsidRDefault="00F31069">
            <w:pPr>
              <w:spacing w:after="0" w:line="240" w:lineRule="auto"/>
              <w:jc w:val="center"/>
              <w:rPr>
                <w:rFonts w:ascii="Arial" w:hAnsi="Arial" w:cs="Arial"/>
              </w:rPr>
            </w:pPr>
            <w:r w:rsidRPr="007475C7">
              <w:rPr>
                <w:rFonts w:ascii="Arial" w:eastAsia="Arial" w:hAnsi="Arial" w:cs="Arial"/>
                <w:color w:val="000000"/>
              </w:rPr>
              <w:t> </w:t>
            </w:r>
          </w:p>
        </w:tc>
      </w:tr>
      <w:tr w:rsidR="00F8545A" w:rsidRPr="007475C7">
        <w:tblPrEx>
          <w:tblCellMar>
            <w:top w:w="0" w:type="dxa"/>
            <w:bottom w:w="0" w:type="dxa"/>
          </w:tblCellMar>
        </w:tblPrEx>
        <w:tc>
          <w:tcPr>
            <w:tcW w:w="2966" w:type="dxa"/>
            <w:tcBorders>
              <w:left w:val="single" w:sz="8" w:space="0" w:color="000000"/>
              <w:bottom w:val="single" w:sz="8" w:space="0" w:color="000000"/>
              <w:right w:val="single" w:sz="8" w:space="0" w:color="000000"/>
            </w:tcBorders>
            <w:tcMar>
              <w:top w:w="0" w:type="dxa"/>
              <w:left w:w="108" w:type="dxa"/>
              <w:bottom w:w="0" w:type="dxa"/>
              <w:right w:w="108" w:type="dxa"/>
            </w:tcMar>
          </w:tcPr>
          <w:p w:rsidR="00F8545A" w:rsidRPr="007475C7" w:rsidRDefault="00F31069">
            <w:pPr>
              <w:spacing w:after="0" w:line="240" w:lineRule="auto"/>
              <w:rPr>
                <w:rFonts w:ascii="Arial" w:hAnsi="Arial" w:cs="Arial"/>
              </w:rPr>
            </w:pPr>
            <w:r w:rsidRPr="007475C7">
              <w:rPr>
                <w:rFonts w:ascii="Arial" w:eastAsia="Arial" w:hAnsi="Arial" w:cs="Arial"/>
                <w:color w:val="000000"/>
              </w:rPr>
              <w:t>Données intermédiaires (nuages LIDAR, carnets de lever terrain…)</w:t>
            </w:r>
          </w:p>
        </w:tc>
        <w:tc>
          <w:tcPr>
            <w:tcW w:w="2967" w:type="dxa"/>
            <w:tcBorders>
              <w:bottom w:val="single" w:sz="8" w:space="0" w:color="000000"/>
              <w:right w:val="single" w:sz="8" w:space="0" w:color="000000"/>
            </w:tcBorders>
            <w:tcMar>
              <w:top w:w="0" w:type="dxa"/>
              <w:left w:w="108" w:type="dxa"/>
              <w:bottom w:w="0" w:type="dxa"/>
              <w:right w:w="108" w:type="dxa"/>
            </w:tcMar>
          </w:tcPr>
          <w:p w:rsidR="00F8545A" w:rsidRPr="007475C7" w:rsidRDefault="00F31069">
            <w:pPr>
              <w:spacing w:after="0" w:line="240" w:lineRule="auto"/>
              <w:rPr>
                <w:rFonts w:ascii="Arial" w:hAnsi="Arial" w:cs="Arial"/>
              </w:rPr>
            </w:pPr>
            <w:r w:rsidRPr="007475C7">
              <w:rPr>
                <w:rFonts w:ascii="Arial" w:eastAsia="Arial" w:hAnsi="Arial" w:cs="Arial"/>
                <w:color w:val="000000"/>
              </w:rPr>
              <w:t> </w:t>
            </w:r>
          </w:p>
        </w:tc>
        <w:tc>
          <w:tcPr>
            <w:tcW w:w="2967" w:type="dxa"/>
            <w:tcBorders>
              <w:bottom w:val="single" w:sz="8" w:space="0" w:color="000000"/>
              <w:right w:val="single" w:sz="8" w:space="0" w:color="000000"/>
            </w:tcBorders>
            <w:tcMar>
              <w:top w:w="0" w:type="dxa"/>
              <w:left w:w="108" w:type="dxa"/>
              <w:bottom w:w="0" w:type="dxa"/>
              <w:right w:w="108" w:type="dxa"/>
            </w:tcMar>
          </w:tcPr>
          <w:p w:rsidR="00F8545A" w:rsidRPr="007475C7" w:rsidRDefault="00F8545A">
            <w:pPr>
              <w:spacing w:after="0" w:line="240" w:lineRule="auto"/>
              <w:jc w:val="center"/>
              <w:rPr>
                <w:rFonts w:ascii="Arial" w:hAnsi="Arial" w:cs="Arial"/>
              </w:rPr>
            </w:pPr>
          </w:p>
          <w:p w:rsidR="00F8545A" w:rsidRPr="007475C7" w:rsidRDefault="00F31069">
            <w:pPr>
              <w:spacing w:after="0" w:line="240" w:lineRule="auto"/>
              <w:jc w:val="center"/>
              <w:rPr>
                <w:rFonts w:ascii="Arial" w:eastAsia="Arial" w:hAnsi="Arial" w:cs="Arial"/>
                <w:color w:val="000000"/>
              </w:rPr>
            </w:pPr>
            <w:r w:rsidRPr="007475C7">
              <w:rPr>
                <w:rFonts w:ascii="Arial" w:eastAsia="Arial" w:hAnsi="Arial" w:cs="Arial"/>
                <w:color w:val="000000"/>
              </w:rPr>
              <w:t>X</w:t>
            </w:r>
          </w:p>
        </w:tc>
      </w:tr>
      <w:tr w:rsidR="00F8545A" w:rsidRPr="007475C7">
        <w:tblPrEx>
          <w:tblCellMar>
            <w:top w:w="0" w:type="dxa"/>
            <w:bottom w:w="0" w:type="dxa"/>
          </w:tblCellMar>
        </w:tblPrEx>
        <w:tc>
          <w:tcPr>
            <w:tcW w:w="8900" w:type="dxa"/>
            <w:gridSpan w:val="3"/>
            <w:tcBorders>
              <w:left w:val="single" w:sz="8" w:space="0" w:color="000000"/>
              <w:bottom w:val="single" w:sz="8" w:space="0" w:color="000000"/>
              <w:right w:val="single" w:sz="8" w:space="0" w:color="000000"/>
            </w:tcBorders>
            <w:tcMar>
              <w:top w:w="0" w:type="dxa"/>
              <w:left w:w="108" w:type="dxa"/>
              <w:bottom w:w="0" w:type="dxa"/>
              <w:right w:w="108" w:type="dxa"/>
            </w:tcMar>
          </w:tcPr>
          <w:p w:rsidR="00F8545A" w:rsidRPr="007475C7" w:rsidRDefault="00F31069">
            <w:pPr>
              <w:spacing w:after="0" w:line="240" w:lineRule="auto"/>
              <w:rPr>
                <w:rFonts w:ascii="Arial" w:hAnsi="Arial" w:cs="Arial"/>
              </w:rPr>
            </w:pPr>
            <w:r w:rsidRPr="007475C7">
              <w:rPr>
                <w:rFonts w:ascii="Arial" w:eastAsia="Arial" w:hAnsi="Arial" w:cs="Arial"/>
                <w:b/>
                <w:color w:val="000000"/>
              </w:rPr>
              <w:t>PCRS Raster</w:t>
            </w:r>
          </w:p>
        </w:tc>
      </w:tr>
      <w:tr w:rsidR="00F8545A" w:rsidRPr="007475C7">
        <w:tblPrEx>
          <w:tblCellMar>
            <w:top w:w="0" w:type="dxa"/>
            <w:bottom w:w="0" w:type="dxa"/>
          </w:tblCellMar>
        </w:tblPrEx>
        <w:tc>
          <w:tcPr>
            <w:tcW w:w="2966" w:type="dxa"/>
            <w:tcBorders>
              <w:left w:val="single" w:sz="8" w:space="0" w:color="000000"/>
              <w:bottom w:val="single" w:sz="8" w:space="0" w:color="000000"/>
              <w:right w:val="single" w:sz="8" w:space="0" w:color="000000"/>
            </w:tcBorders>
            <w:tcMar>
              <w:top w:w="0" w:type="dxa"/>
              <w:left w:w="108" w:type="dxa"/>
              <w:bottom w:w="0" w:type="dxa"/>
              <w:right w:w="108" w:type="dxa"/>
            </w:tcMar>
          </w:tcPr>
          <w:p w:rsidR="00F8545A" w:rsidRPr="007475C7" w:rsidRDefault="00F31069">
            <w:pPr>
              <w:spacing w:after="0" w:line="240" w:lineRule="auto"/>
              <w:rPr>
                <w:rFonts w:ascii="Arial" w:hAnsi="Arial" w:cs="Arial"/>
              </w:rPr>
            </w:pPr>
            <w:r w:rsidRPr="007475C7">
              <w:rPr>
                <w:rFonts w:ascii="Arial" w:eastAsia="Arial" w:hAnsi="Arial" w:cs="Arial"/>
                <w:color w:val="000000"/>
              </w:rPr>
              <w:t>Dalles orthophoto compressées</w:t>
            </w:r>
          </w:p>
        </w:tc>
        <w:tc>
          <w:tcPr>
            <w:tcW w:w="2967" w:type="dxa"/>
            <w:tcBorders>
              <w:bottom w:val="single" w:sz="8" w:space="0" w:color="000000"/>
              <w:right w:val="single" w:sz="8" w:space="0" w:color="000000"/>
            </w:tcBorders>
            <w:tcMar>
              <w:top w:w="0" w:type="dxa"/>
              <w:left w:w="108" w:type="dxa"/>
              <w:bottom w:w="0" w:type="dxa"/>
              <w:right w:w="108" w:type="dxa"/>
            </w:tcMar>
          </w:tcPr>
          <w:p w:rsidR="00F8545A" w:rsidRPr="007475C7" w:rsidRDefault="00F31069">
            <w:pPr>
              <w:spacing w:after="0" w:line="480" w:lineRule="auto"/>
              <w:jc w:val="center"/>
              <w:rPr>
                <w:rFonts w:ascii="Arial" w:hAnsi="Arial" w:cs="Arial"/>
              </w:rPr>
            </w:pPr>
            <w:r w:rsidRPr="007475C7">
              <w:rPr>
                <w:rFonts w:ascii="Arial" w:eastAsia="Arial" w:hAnsi="Arial" w:cs="Arial"/>
                <w:color w:val="000000"/>
              </w:rPr>
              <w:t>X</w:t>
            </w:r>
          </w:p>
        </w:tc>
        <w:tc>
          <w:tcPr>
            <w:tcW w:w="2967" w:type="dxa"/>
            <w:tcBorders>
              <w:bottom w:val="single" w:sz="8" w:space="0" w:color="000000"/>
              <w:right w:val="single" w:sz="8" w:space="0" w:color="000000"/>
            </w:tcBorders>
            <w:tcMar>
              <w:top w:w="0" w:type="dxa"/>
              <w:left w:w="108" w:type="dxa"/>
              <w:bottom w:w="0" w:type="dxa"/>
              <w:right w:w="108" w:type="dxa"/>
            </w:tcMar>
          </w:tcPr>
          <w:p w:rsidR="00F8545A" w:rsidRPr="007475C7" w:rsidRDefault="00F31069">
            <w:pPr>
              <w:spacing w:after="0" w:line="240" w:lineRule="auto"/>
              <w:jc w:val="center"/>
              <w:rPr>
                <w:rFonts w:ascii="Arial" w:hAnsi="Arial" w:cs="Arial"/>
              </w:rPr>
            </w:pPr>
            <w:r w:rsidRPr="007475C7">
              <w:rPr>
                <w:rFonts w:ascii="Arial" w:eastAsia="Arial" w:hAnsi="Arial" w:cs="Arial"/>
                <w:color w:val="000000"/>
              </w:rPr>
              <w:t> </w:t>
            </w:r>
          </w:p>
        </w:tc>
      </w:tr>
      <w:tr w:rsidR="00F8545A" w:rsidRPr="007475C7">
        <w:tblPrEx>
          <w:tblCellMar>
            <w:top w:w="0" w:type="dxa"/>
            <w:bottom w:w="0" w:type="dxa"/>
          </w:tblCellMar>
        </w:tblPrEx>
        <w:tc>
          <w:tcPr>
            <w:tcW w:w="2966" w:type="dxa"/>
            <w:tcBorders>
              <w:left w:val="single" w:sz="8" w:space="0" w:color="000000"/>
              <w:bottom w:val="single" w:sz="8" w:space="0" w:color="000000"/>
              <w:right w:val="single" w:sz="8" w:space="0" w:color="000000"/>
            </w:tcBorders>
            <w:tcMar>
              <w:top w:w="0" w:type="dxa"/>
              <w:left w:w="108" w:type="dxa"/>
              <w:bottom w:w="0" w:type="dxa"/>
              <w:right w:w="108" w:type="dxa"/>
            </w:tcMar>
          </w:tcPr>
          <w:p w:rsidR="00F8545A" w:rsidRPr="007475C7" w:rsidRDefault="00F31069">
            <w:pPr>
              <w:spacing w:after="0" w:line="240" w:lineRule="auto"/>
              <w:rPr>
                <w:rFonts w:ascii="Arial" w:hAnsi="Arial" w:cs="Arial"/>
              </w:rPr>
            </w:pPr>
            <w:r w:rsidRPr="007475C7">
              <w:rPr>
                <w:rFonts w:ascii="Arial" w:eastAsia="Arial" w:hAnsi="Arial" w:cs="Arial"/>
                <w:color w:val="000000"/>
              </w:rPr>
              <w:t>Dalles orthophoto brutes</w:t>
            </w:r>
          </w:p>
        </w:tc>
        <w:tc>
          <w:tcPr>
            <w:tcW w:w="2967" w:type="dxa"/>
            <w:tcBorders>
              <w:bottom w:val="single" w:sz="8" w:space="0" w:color="000000"/>
              <w:right w:val="single" w:sz="8" w:space="0" w:color="000000"/>
            </w:tcBorders>
            <w:tcMar>
              <w:top w:w="0" w:type="dxa"/>
              <w:left w:w="108" w:type="dxa"/>
              <w:bottom w:w="0" w:type="dxa"/>
              <w:right w:w="108" w:type="dxa"/>
            </w:tcMar>
          </w:tcPr>
          <w:p w:rsidR="00F8545A" w:rsidRPr="007475C7" w:rsidRDefault="00F31069">
            <w:pPr>
              <w:spacing w:after="0" w:line="240" w:lineRule="auto"/>
              <w:jc w:val="center"/>
              <w:rPr>
                <w:rFonts w:ascii="Arial" w:hAnsi="Arial" w:cs="Arial"/>
              </w:rPr>
            </w:pPr>
            <w:r w:rsidRPr="007475C7">
              <w:rPr>
                <w:rFonts w:ascii="Arial" w:eastAsia="Arial" w:hAnsi="Arial" w:cs="Arial"/>
                <w:color w:val="000000"/>
              </w:rPr>
              <w:t> </w:t>
            </w:r>
          </w:p>
        </w:tc>
        <w:tc>
          <w:tcPr>
            <w:tcW w:w="2967" w:type="dxa"/>
            <w:tcBorders>
              <w:bottom w:val="single" w:sz="8" w:space="0" w:color="000000"/>
              <w:right w:val="single" w:sz="8" w:space="0" w:color="000000"/>
            </w:tcBorders>
            <w:tcMar>
              <w:top w:w="0" w:type="dxa"/>
              <w:left w:w="108" w:type="dxa"/>
              <w:bottom w:w="0" w:type="dxa"/>
              <w:right w:w="108" w:type="dxa"/>
            </w:tcMar>
          </w:tcPr>
          <w:p w:rsidR="00F8545A" w:rsidRPr="007475C7" w:rsidRDefault="00F31069">
            <w:pPr>
              <w:spacing w:after="0" w:line="240" w:lineRule="auto"/>
              <w:jc w:val="center"/>
              <w:rPr>
                <w:rFonts w:ascii="Arial" w:hAnsi="Arial" w:cs="Arial"/>
              </w:rPr>
            </w:pPr>
            <w:r w:rsidRPr="007475C7">
              <w:rPr>
                <w:rFonts w:ascii="Arial" w:eastAsia="Arial" w:hAnsi="Arial" w:cs="Arial"/>
                <w:color w:val="000000"/>
              </w:rPr>
              <w:t>X</w:t>
            </w:r>
          </w:p>
        </w:tc>
      </w:tr>
      <w:tr w:rsidR="00F8545A" w:rsidRPr="007475C7">
        <w:tblPrEx>
          <w:tblCellMar>
            <w:top w:w="0" w:type="dxa"/>
            <w:bottom w:w="0" w:type="dxa"/>
          </w:tblCellMar>
        </w:tblPrEx>
        <w:tc>
          <w:tcPr>
            <w:tcW w:w="2966" w:type="dxa"/>
            <w:tcBorders>
              <w:left w:val="single" w:sz="8" w:space="0" w:color="000000"/>
              <w:bottom w:val="single" w:sz="8" w:space="0" w:color="000000"/>
              <w:right w:val="single" w:sz="8" w:space="0" w:color="000000"/>
            </w:tcBorders>
            <w:tcMar>
              <w:top w:w="0" w:type="dxa"/>
              <w:left w:w="108" w:type="dxa"/>
              <w:bottom w:w="0" w:type="dxa"/>
              <w:right w:w="108" w:type="dxa"/>
            </w:tcMar>
          </w:tcPr>
          <w:p w:rsidR="00F8545A" w:rsidRPr="007475C7" w:rsidRDefault="00F31069">
            <w:pPr>
              <w:spacing w:after="0" w:line="240" w:lineRule="auto"/>
              <w:rPr>
                <w:rFonts w:ascii="Arial" w:hAnsi="Arial" w:cs="Arial"/>
              </w:rPr>
            </w:pPr>
            <w:r w:rsidRPr="007475C7">
              <w:rPr>
                <w:rFonts w:ascii="Arial" w:eastAsia="Arial" w:hAnsi="Arial" w:cs="Arial"/>
                <w:color w:val="000000"/>
              </w:rPr>
              <w:t xml:space="preserve">Données intermédiaires (clichés </w:t>
            </w:r>
            <w:r w:rsidRPr="007475C7">
              <w:rPr>
                <w:rFonts w:ascii="Arial" w:eastAsia="Arial" w:hAnsi="Arial" w:cs="Arial"/>
                <w:color w:val="000000"/>
              </w:rPr>
              <w:t>orientés, MNT, aérotriangulation…</w:t>
            </w:r>
          </w:p>
        </w:tc>
        <w:tc>
          <w:tcPr>
            <w:tcW w:w="2967" w:type="dxa"/>
            <w:tcBorders>
              <w:bottom w:val="single" w:sz="8" w:space="0" w:color="000000"/>
              <w:right w:val="single" w:sz="8" w:space="0" w:color="000000"/>
            </w:tcBorders>
            <w:tcMar>
              <w:top w:w="0" w:type="dxa"/>
              <w:left w:w="108" w:type="dxa"/>
              <w:bottom w:w="0" w:type="dxa"/>
              <w:right w:w="108" w:type="dxa"/>
            </w:tcMar>
          </w:tcPr>
          <w:p w:rsidR="00F8545A" w:rsidRPr="007475C7" w:rsidRDefault="00F31069">
            <w:pPr>
              <w:spacing w:after="0" w:line="240" w:lineRule="auto"/>
              <w:jc w:val="center"/>
              <w:rPr>
                <w:rFonts w:ascii="Arial" w:hAnsi="Arial" w:cs="Arial"/>
              </w:rPr>
            </w:pPr>
            <w:r w:rsidRPr="007475C7">
              <w:rPr>
                <w:rFonts w:ascii="Arial" w:eastAsia="Arial" w:hAnsi="Arial" w:cs="Arial"/>
                <w:color w:val="000000"/>
              </w:rPr>
              <w:t> </w:t>
            </w:r>
          </w:p>
        </w:tc>
        <w:tc>
          <w:tcPr>
            <w:tcW w:w="2967" w:type="dxa"/>
            <w:tcBorders>
              <w:bottom w:val="single" w:sz="8" w:space="0" w:color="000000"/>
              <w:right w:val="single" w:sz="8" w:space="0" w:color="000000"/>
            </w:tcBorders>
            <w:tcMar>
              <w:top w:w="0" w:type="dxa"/>
              <w:left w:w="108" w:type="dxa"/>
              <w:bottom w:w="0" w:type="dxa"/>
              <w:right w:w="108" w:type="dxa"/>
            </w:tcMar>
          </w:tcPr>
          <w:p w:rsidR="00F8545A" w:rsidRPr="007475C7" w:rsidRDefault="00F8545A">
            <w:pPr>
              <w:spacing w:after="0" w:line="240" w:lineRule="auto"/>
              <w:jc w:val="center"/>
              <w:rPr>
                <w:rFonts w:ascii="Arial" w:hAnsi="Arial" w:cs="Arial"/>
              </w:rPr>
            </w:pPr>
          </w:p>
          <w:p w:rsidR="00F8545A" w:rsidRPr="007475C7" w:rsidRDefault="00F31069">
            <w:pPr>
              <w:spacing w:after="0" w:line="240" w:lineRule="auto"/>
              <w:jc w:val="center"/>
              <w:rPr>
                <w:rFonts w:ascii="Arial" w:eastAsia="Arial" w:hAnsi="Arial" w:cs="Arial"/>
                <w:color w:val="000000"/>
              </w:rPr>
            </w:pPr>
            <w:r w:rsidRPr="007475C7">
              <w:rPr>
                <w:rFonts w:ascii="Arial" w:eastAsia="Arial" w:hAnsi="Arial" w:cs="Arial"/>
                <w:color w:val="000000"/>
              </w:rPr>
              <w:t>X</w:t>
            </w:r>
          </w:p>
        </w:tc>
      </w:tr>
    </w:tbl>
    <w:p w:rsidR="00F8545A" w:rsidRPr="007475C7" w:rsidRDefault="00F8545A">
      <w:pPr>
        <w:spacing w:line="276" w:lineRule="atLeast"/>
        <w:rPr>
          <w:rFonts w:ascii="Arial" w:hAnsi="Arial" w:cs="Arial"/>
        </w:rPr>
      </w:pPr>
    </w:p>
    <w:sectPr w:rsidR="00F8545A" w:rsidRPr="007475C7">
      <w:headerReference w:type="default" r:id="rId45"/>
      <w:footerReference w:type="default" r:id="rId46"/>
      <w:pgSz w:w="11906" w:h="16838"/>
      <w:pgMar w:top="1417" w:right="1417" w:bottom="708" w:left="1417" w:header="70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069" w:rsidRDefault="00F31069">
      <w:pPr>
        <w:spacing w:after="0" w:line="240" w:lineRule="auto"/>
      </w:pPr>
      <w:r>
        <w:separator/>
      </w:r>
    </w:p>
  </w:endnote>
  <w:endnote w:type="continuationSeparator" w:id="0">
    <w:p w:rsidR="00F31069" w:rsidRDefault="00F31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Times New Roman"/>
    <w:charset w:val="00"/>
    <w:family w:val="auto"/>
    <w:pitch w:val="default"/>
  </w:font>
  <w:font w:name="Aptos Display">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783407"/>
      <w:docPartObj>
        <w:docPartGallery w:val="Page Numbers (Bottom of Page)"/>
        <w:docPartUnique/>
      </w:docPartObj>
    </w:sdtPr>
    <w:sdtContent>
      <w:p w:rsidR="000F7186" w:rsidRDefault="000F7186">
        <w:pPr>
          <w:pStyle w:val="Pieddepage"/>
          <w:jc w:val="right"/>
        </w:pPr>
        <w:r>
          <w:fldChar w:fldCharType="begin"/>
        </w:r>
        <w:r>
          <w:instrText>PAGE   \* MERGEFORMAT</w:instrText>
        </w:r>
        <w:r>
          <w:fldChar w:fldCharType="separate"/>
        </w:r>
        <w:r>
          <w:rPr>
            <w:noProof/>
          </w:rPr>
          <w:t>13</w:t>
        </w:r>
        <w:r>
          <w:fldChar w:fldCharType="end"/>
        </w:r>
      </w:p>
    </w:sdtContent>
  </w:sdt>
  <w:p w:rsidR="000F7186" w:rsidRDefault="000F718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069" w:rsidRDefault="00F31069">
      <w:pPr>
        <w:spacing w:after="0" w:line="240" w:lineRule="auto"/>
      </w:pPr>
      <w:r>
        <w:separator/>
      </w:r>
    </w:p>
  </w:footnote>
  <w:footnote w:type="continuationSeparator" w:id="0">
    <w:p w:rsidR="00F31069" w:rsidRDefault="00F31069">
      <w:pPr>
        <w:spacing w:after="0" w:line="240" w:lineRule="auto"/>
      </w:pPr>
      <w:r>
        <w:continuationSeparator/>
      </w:r>
    </w:p>
  </w:footnote>
  <w:footnote w:id="1">
    <w:p w:rsidR="00D218BE" w:rsidRDefault="00D218BE">
      <w:pPr>
        <w:pStyle w:val="Notedebasdepage"/>
      </w:pPr>
      <w:r>
        <w:rPr>
          <w:rStyle w:val="Appelnotedebasdep"/>
        </w:rPr>
        <w:footnoteRef/>
      </w:r>
      <w:r>
        <w:t xml:space="preserve"> </w:t>
      </w:r>
      <w:hyperlink r:id="rId1" w:history="1">
        <w:r>
          <w:rPr>
            <w:rStyle w:val="Lienhypertexte"/>
          </w:rPr>
          <w:t>GT Accessibilité du PCRS | Conseil national de l’information géolocalisée</w:t>
        </w:r>
      </w:hyperlink>
    </w:p>
  </w:footnote>
  <w:footnote w:id="2">
    <w:p w:rsidR="00F8545A" w:rsidRDefault="00F31069">
      <w:pPr>
        <w:pStyle w:val="Notedebasdepage"/>
        <w:ind w:left="113" w:hanging="113"/>
      </w:pPr>
      <w:r>
        <w:rPr>
          <w:rStyle w:val="Appelnotedebasdep"/>
        </w:rPr>
        <w:footnoteRef/>
      </w:r>
      <w:r>
        <w:t xml:space="preserve"> </w:t>
      </w:r>
      <w:r>
        <w:rPr>
          <w:rStyle w:val="Lienhypertexte"/>
        </w:rPr>
        <w:t>https://cnig.gouv.fr/IMG/documents_wordpress/2017/12/CNIG_RTGE_PCRS_v2.0.pdf</w:t>
      </w:r>
    </w:p>
  </w:footnote>
  <w:footnote w:id="3">
    <w:p w:rsidR="00F8545A" w:rsidRDefault="00F31069">
      <w:pPr>
        <w:pStyle w:val="Notedebasdepage"/>
        <w:ind w:left="113" w:hanging="113"/>
      </w:pPr>
      <w:r>
        <w:rPr>
          <w:rStyle w:val="Appelnotedebasdep"/>
        </w:rPr>
        <w:footnoteRef/>
      </w:r>
      <w:r>
        <w:t xml:space="preserve"> </w:t>
      </w:r>
      <w:hyperlink r:id="rId2" w:history="1">
        <w:r>
          <w:rPr>
            <w:rStyle w:val="Lienhypertexte"/>
            <w:rFonts w:ascii="Times New Roman" w:eastAsia="Times New Roman" w:hAnsi="Times New Roman" w:cs="Times New Roman"/>
            <w:sz w:val="24"/>
          </w:rPr>
          <w:t>https://cnig.gouv.fr/plan-de-corps-de-rue-simplifie-reseaux-r21411.ht</w:t>
        </w:r>
        <w:r>
          <w:rPr>
            <w:rStyle w:val="Lienhypertexte"/>
            <w:rFonts w:ascii="Times New Roman" w:eastAsia="Times New Roman" w:hAnsi="Times New Roman" w:cs="Times New Roman"/>
            <w:sz w:val="24"/>
          </w:rPr>
          <w:t>ml</w:t>
        </w:r>
      </w:hyperlink>
    </w:p>
  </w:footnote>
  <w:footnote w:id="4">
    <w:p w:rsidR="00F8545A" w:rsidRDefault="00F31069">
      <w:pPr>
        <w:spacing w:line="240" w:lineRule="auto"/>
        <w:ind w:left="113" w:hanging="113"/>
      </w:pPr>
      <w:r>
        <w:rPr>
          <w:rStyle w:val="Appelnotedebasdep"/>
        </w:rPr>
        <w:footnoteRef/>
      </w:r>
      <w:r>
        <w:rPr>
          <w:rStyle w:val="Appelnotedebasdep"/>
        </w:rPr>
        <w:t xml:space="preserve"> </w:t>
      </w:r>
      <w:hyperlink r:id="rId3" w:history="1">
        <w:r>
          <w:rPr>
            <w:rStyle w:val="Appelnotedebasdep"/>
          </w:rPr>
          <w:t>https://www.observatoire-national-dt-dict.fr/logigramme-pcrs/</w:t>
        </w:r>
      </w:hyperlink>
    </w:p>
  </w:footnote>
  <w:footnote w:id="5">
    <w:p w:rsidR="00F8545A" w:rsidRDefault="00F31069">
      <w:pPr>
        <w:spacing w:line="240" w:lineRule="auto"/>
        <w:ind w:left="113" w:hanging="113"/>
      </w:pPr>
      <w:r>
        <w:rPr>
          <w:rStyle w:val="Appelnotedebasdep"/>
        </w:rPr>
        <w:footnoteRef/>
      </w:r>
      <w:r>
        <w:rPr>
          <w:rStyle w:val="Appelnotedebasdep"/>
        </w:rPr>
        <w:t xml:space="preserve"> </w:t>
      </w:r>
      <w:hyperlink r:id="rId4" w:history="1">
        <w:r>
          <w:rPr>
            <w:rStyle w:val="Appelnotedebasdep"/>
          </w:rPr>
          <w:t>https://docs.pcrs.beta.gouv.fr/contexte/reglementation/questionnements-reglementaires</w:t>
        </w:r>
      </w:hyperlink>
      <w:r>
        <w:rPr>
          <w:rStyle w:val="Appelnotedebasdep"/>
        </w:rPr>
        <w:t xml:space="preserve"> </w:t>
      </w:r>
    </w:p>
  </w:footnote>
  <w:footnote w:id="6">
    <w:p w:rsidR="00F8545A" w:rsidRDefault="00F31069">
      <w:pPr>
        <w:pStyle w:val="Notedebasdepage"/>
        <w:ind w:left="113" w:hanging="113"/>
      </w:pPr>
      <w:r>
        <w:rPr>
          <w:rStyle w:val="Appelnotedebasdep"/>
        </w:rPr>
        <w:footnoteRef/>
      </w:r>
      <w:r>
        <w:t xml:space="preserve"> </w:t>
      </w:r>
      <w:hyperlink r:id="rId5" w:history="1">
        <w:r>
          <w:rPr>
            <w:rStyle w:val="Lienhypertexte"/>
            <w:rFonts w:ascii="Times New Roman" w:eastAsia="Times New Roman" w:hAnsi="Times New Roman" w:cs="Times New Roman"/>
            <w:color w:val="0000EE"/>
            <w:sz w:val="24"/>
          </w:rPr>
          <w:t>Carte des PCRS | pcrs.beta.gouv.fr</w:t>
        </w:r>
      </w:hyperlink>
    </w:p>
  </w:footnote>
  <w:footnote w:id="7">
    <w:p w:rsidR="00F8545A" w:rsidRDefault="00F31069">
      <w:pPr>
        <w:pStyle w:val="Notedebasdepage"/>
        <w:ind w:left="113" w:hanging="113"/>
      </w:pPr>
      <w:r>
        <w:rPr>
          <w:rStyle w:val="Appelnotedebasdep"/>
        </w:rPr>
        <w:footnoteRef/>
      </w:r>
      <w:r>
        <w:t xml:space="preserve"> </w:t>
      </w:r>
      <w:hyperlink r:id="rId6" w:history="1">
        <w:r>
          <w:rPr>
            <w:rStyle w:val="Lienhypertexte"/>
            <w:rFonts w:ascii="Times New Roman" w:eastAsia="Times New Roman" w:hAnsi="Times New Roman" w:cs="Times New Roman"/>
            <w:color w:val="0000EE"/>
            <w:sz w:val="24"/>
          </w:rPr>
          <w:t>Article L312-1-1 - Code des relations entre le public et l'administration - Légifrance</w:t>
        </w:r>
      </w:hyperlink>
    </w:p>
  </w:footnote>
  <w:footnote w:id="8">
    <w:p w:rsidR="00F8545A" w:rsidRDefault="00F31069">
      <w:pPr>
        <w:pStyle w:val="Notedebasdepage"/>
        <w:ind w:left="113" w:hanging="113"/>
      </w:pPr>
      <w:r>
        <w:rPr>
          <w:rStyle w:val="Appelnotedebasdep"/>
        </w:rPr>
        <w:footnoteRef/>
      </w:r>
      <w:r>
        <w:t xml:space="preserve"> </w:t>
      </w:r>
      <w:hyperlink r:id="rId7" w:history="1">
        <w:r>
          <w:rPr>
            <w:rStyle w:val="Lienhypertexte"/>
          </w:rPr>
          <w:t>https://cnig.gouv.fr/IMG/documents_wordpress/2</w:t>
        </w:r>
        <w:r>
          <w:rPr>
            <w:rStyle w:val="Lienhypertexte"/>
          </w:rPr>
          <w:t>022/05/ANNEXE_5_PCRS_Fiche_MaJ_Raster.pdf</w:t>
        </w:r>
      </w:hyperlink>
      <w:r>
        <w:t xml:space="preserve"> </w:t>
      </w:r>
    </w:p>
  </w:footnote>
  <w:footnote w:id="9">
    <w:p w:rsidR="00F8545A" w:rsidRDefault="00F31069">
      <w:pPr>
        <w:pStyle w:val="Notedebasdepage"/>
        <w:ind w:left="113" w:hanging="113"/>
      </w:pPr>
      <w:r>
        <w:rPr>
          <w:rStyle w:val="Appelnotedebasdep"/>
        </w:rPr>
        <w:footnoteRef/>
      </w:r>
      <w:r>
        <w:t xml:space="preserve"> </w:t>
      </w:r>
      <w:r>
        <w:rPr>
          <w:rFonts w:ascii="Arial" w:eastAsia="Arial" w:hAnsi="Arial" w:cs="Arial"/>
          <w:color w:val="000000"/>
        </w:rPr>
        <w:t xml:space="preserve"> Extr</w:t>
      </w:r>
      <w:r>
        <w:rPr>
          <w:rFonts w:ascii="Arial" w:eastAsia="Arial" w:hAnsi="Arial" w:cs="Arial"/>
          <w:color w:val="000000"/>
        </w:rPr>
        <w:t>act Transform and Load</w:t>
      </w:r>
    </w:p>
  </w:footnote>
  <w:footnote w:id="10">
    <w:p w:rsidR="00F8545A" w:rsidRDefault="00F31069">
      <w:pPr>
        <w:pStyle w:val="Notedebasdepage"/>
        <w:ind w:left="113" w:hanging="113"/>
      </w:pPr>
      <w:r>
        <w:rPr>
          <w:rStyle w:val="Appelnotedebasdep"/>
        </w:rPr>
        <w:footnoteRef/>
      </w:r>
      <w:r>
        <w:t xml:space="preserve"> </w:t>
      </w:r>
      <w:r>
        <w:rPr>
          <w:rFonts w:ascii="Arial" w:eastAsia="Arial" w:hAnsi="Arial" w:cs="Arial"/>
          <w:color w:val="000000"/>
        </w:rPr>
        <w:t xml:space="preserve"> </w:t>
      </w:r>
      <w:hyperlink r:id="rId8" w:history="1">
        <w:r>
          <w:rPr>
            <w:rStyle w:val="Lienhypertexte"/>
            <w:rFonts w:ascii="Arial" w:eastAsia="Arial" w:hAnsi="Arial" w:cs="Arial"/>
          </w:rPr>
          <w:t>https://demo-validator.ign.fr/</w:t>
        </w:r>
      </w:hyperlink>
      <w:r>
        <w:rPr>
          <w:rFonts w:ascii="Arial" w:eastAsia="Arial" w:hAnsi="Arial" w:cs="Arial"/>
          <w:color w:val="000000"/>
        </w:rPr>
        <w:t xml:space="preserve"> </w:t>
      </w:r>
    </w:p>
  </w:footnote>
  <w:footnote w:id="11">
    <w:p w:rsidR="00F8545A" w:rsidRDefault="00F31069">
      <w:pPr>
        <w:pStyle w:val="Notedebasdepage"/>
        <w:ind w:left="113" w:hanging="113"/>
      </w:pPr>
      <w:r>
        <w:rPr>
          <w:rStyle w:val="Appelnotedebasdep"/>
        </w:rPr>
        <w:footnoteRef/>
      </w:r>
      <w:r>
        <w:t xml:space="preserve">  </w:t>
      </w:r>
      <w:r>
        <w:rPr>
          <w:rFonts w:ascii="Arial" w:eastAsia="Arial" w:hAnsi="Arial" w:cs="Arial"/>
          <w:color w:val="000000"/>
        </w:rPr>
        <w:t xml:space="preserve"> </w:t>
      </w:r>
      <w:r>
        <w:rPr>
          <w:rStyle w:val="Lienhypertexte"/>
          <w:rFonts w:ascii="Arial" w:eastAsia="Arial" w:hAnsi="Arial" w:cs="Arial"/>
        </w:rPr>
        <w:t>https://demo-validator.ign.fr/</w:t>
      </w:r>
      <w:r>
        <w:rPr>
          <w:rFonts w:ascii="Arial" w:eastAsia="Arial" w:hAnsi="Arial" w:cs="Arial"/>
          <w:color w:val="000000"/>
        </w:rPr>
        <w:t xml:space="preserve"> </w:t>
      </w:r>
    </w:p>
    <w:p w:rsidR="00F8545A" w:rsidRDefault="00F8545A">
      <w:pPr>
        <w:pStyle w:val="Notedebasdepage"/>
        <w:ind w:left="113" w:hanging="113"/>
      </w:pPr>
      <w:bookmarkStart w:id="18" w:name="_GoBack"/>
    </w:p>
    <w:bookmarkEnd w:id="18"/>
  </w:footnote>
  <w:footnote w:id="12">
    <w:p w:rsidR="00F8545A" w:rsidRDefault="00F31069">
      <w:pPr>
        <w:pStyle w:val="Notedebasdepage"/>
        <w:ind w:left="113" w:hanging="113"/>
      </w:pPr>
      <w:r>
        <w:rPr>
          <w:rStyle w:val="Appelnotedebasdep"/>
        </w:rPr>
        <w:footnoteRef/>
      </w:r>
      <w:r>
        <w:t xml:space="preserve">Selon le suivi des projets disponible à l’adresse </w:t>
      </w:r>
      <w:hyperlink r:id="rId9" w:history="1">
        <w:r>
          <w:rPr>
            <w:rStyle w:val="Lienhypertexte"/>
            <w:rFonts w:ascii="Times New Roman" w:eastAsia="Times New Roman" w:hAnsi="Times New Roman" w:cs="Times New Roman"/>
            <w:sz w:val="24"/>
          </w:rPr>
          <w:t>https://pcrs.beta.gouv.fr/suivi-pcrs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DDB" w:rsidRPr="000F7186" w:rsidRDefault="000F7186" w:rsidP="000F7186">
    <w:pPr>
      <w:pStyle w:val="En-tte"/>
    </w:pPr>
    <w:r w:rsidRPr="000F7186">
      <w:t>Recommandations pour la mise à disposition du PCRS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698"/>
    <w:multiLevelType w:val="multilevel"/>
    <w:tmpl w:val="F7DA12A6"/>
    <w:styleLink w:val="WWNum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1F243D6"/>
    <w:multiLevelType w:val="multilevel"/>
    <w:tmpl w:val="44D290C8"/>
    <w:styleLink w:val="WWNum64"/>
    <w:lvl w:ilvl="0">
      <w:numFmt w:val="bullet"/>
      <w:lvlText w:val="·"/>
      <w:lvlJc w:val="left"/>
      <w:pPr>
        <w:ind w:left="709" w:hanging="360"/>
      </w:pPr>
    </w:lvl>
    <w:lvl w:ilvl="1">
      <w:numFmt w:val="bullet"/>
      <w:lvlText w:val="o"/>
      <w:lvlJc w:val="left"/>
      <w:pPr>
        <w:ind w:left="1429" w:hanging="360"/>
      </w:pPr>
    </w:lvl>
    <w:lvl w:ilvl="2">
      <w:numFmt w:val="bullet"/>
      <w:lvlText w:val="§"/>
      <w:lvlJc w:val="left"/>
      <w:pPr>
        <w:ind w:left="2149" w:hanging="360"/>
      </w:pPr>
    </w:lvl>
    <w:lvl w:ilvl="3">
      <w:numFmt w:val="bullet"/>
      <w:lvlText w:val="·"/>
      <w:lvlJc w:val="left"/>
      <w:pPr>
        <w:ind w:left="2869" w:hanging="360"/>
      </w:pPr>
    </w:lvl>
    <w:lvl w:ilvl="4">
      <w:numFmt w:val="bullet"/>
      <w:lvlText w:val="o"/>
      <w:lvlJc w:val="left"/>
      <w:pPr>
        <w:ind w:left="3589" w:hanging="360"/>
      </w:pPr>
    </w:lvl>
    <w:lvl w:ilvl="5">
      <w:numFmt w:val="bullet"/>
      <w:lvlText w:val="§"/>
      <w:lvlJc w:val="left"/>
      <w:pPr>
        <w:ind w:left="4309" w:hanging="360"/>
      </w:pPr>
    </w:lvl>
    <w:lvl w:ilvl="6">
      <w:numFmt w:val="bullet"/>
      <w:lvlText w:val="·"/>
      <w:lvlJc w:val="left"/>
      <w:pPr>
        <w:ind w:left="5029" w:hanging="360"/>
      </w:pPr>
    </w:lvl>
    <w:lvl w:ilvl="7">
      <w:numFmt w:val="bullet"/>
      <w:lvlText w:val="o"/>
      <w:lvlJc w:val="left"/>
      <w:pPr>
        <w:ind w:left="5749" w:hanging="360"/>
      </w:pPr>
    </w:lvl>
    <w:lvl w:ilvl="8">
      <w:numFmt w:val="bullet"/>
      <w:lvlText w:val="§"/>
      <w:lvlJc w:val="left"/>
      <w:pPr>
        <w:ind w:left="6469" w:hanging="360"/>
      </w:pPr>
    </w:lvl>
  </w:abstractNum>
  <w:abstractNum w:abstractNumId="2" w15:restartNumberingAfterBreak="0">
    <w:nsid w:val="038F2B9D"/>
    <w:multiLevelType w:val="multilevel"/>
    <w:tmpl w:val="B54A90B0"/>
    <w:styleLink w:val="WWNum38"/>
    <w:lvl w:ilvl="0">
      <w:numFmt w:val="bullet"/>
      <w:lvlText w:val="·"/>
      <w:lvlJc w:val="left"/>
      <w:pPr>
        <w:ind w:left="709" w:hanging="360"/>
      </w:pPr>
    </w:lvl>
    <w:lvl w:ilvl="1">
      <w:numFmt w:val="bullet"/>
      <w:lvlText w:val="o"/>
      <w:lvlJc w:val="left"/>
      <w:pPr>
        <w:ind w:left="1429" w:hanging="360"/>
      </w:pPr>
    </w:lvl>
    <w:lvl w:ilvl="2">
      <w:numFmt w:val="bullet"/>
      <w:lvlText w:val="§"/>
      <w:lvlJc w:val="left"/>
      <w:pPr>
        <w:ind w:left="2149" w:hanging="360"/>
      </w:pPr>
    </w:lvl>
    <w:lvl w:ilvl="3">
      <w:numFmt w:val="bullet"/>
      <w:lvlText w:val="·"/>
      <w:lvlJc w:val="left"/>
      <w:pPr>
        <w:ind w:left="2869" w:hanging="360"/>
      </w:pPr>
    </w:lvl>
    <w:lvl w:ilvl="4">
      <w:numFmt w:val="bullet"/>
      <w:lvlText w:val="o"/>
      <w:lvlJc w:val="left"/>
      <w:pPr>
        <w:ind w:left="3589" w:hanging="360"/>
      </w:pPr>
    </w:lvl>
    <w:lvl w:ilvl="5">
      <w:numFmt w:val="bullet"/>
      <w:lvlText w:val="§"/>
      <w:lvlJc w:val="left"/>
      <w:pPr>
        <w:ind w:left="4309" w:hanging="360"/>
      </w:pPr>
    </w:lvl>
    <w:lvl w:ilvl="6">
      <w:numFmt w:val="bullet"/>
      <w:lvlText w:val="·"/>
      <w:lvlJc w:val="left"/>
      <w:pPr>
        <w:ind w:left="5029" w:hanging="360"/>
      </w:pPr>
    </w:lvl>
    <w:lvl w:ilvl="7">
      <w:numFmt w:val="bullet"/>
      <w:lvlText w:val="o"/>
      <w:lvlJc w:val="left"/>
      <w:pPr>
        <w:ind w:left="5749" w:hanging="360"/>
      </w:pPr>
    </w:lvl>
    <w:lvl w:ilvl="8">
      <w:numFmt w:val="bullet"/>
      <w:lvlText w:val="§"/>
      <w:lvlJc w:val="left"/>
      <w:pPr>
        <w:ind w:left="6469" w:hanging="360"/>
      </w:pPr>
    </w:lvl>
  </w:abstractNum>
  <w:abstractNum w:abstractNumId="3" w15:restartNumberingAfterBreak="0">
    <w:nsid w:val="039C38E9"/>
    <w:multiLevelType w:val="multilevel"/>
    <w:tmpl w:val="0582BB1E"/>
    <w:styleLink w:val="WWNum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6AF0744"/>
    <w:multiLevelType w:val="multilevel"/>
    <w:tmpl w:val="EA9642EC"/>
    <w:styleLink w:val="WWNum32"/>
    <w:lvl w:ilvl="0">
      <w:numFmt w:val="bullet"/>
      <w:lvlText w:val="·"/>
      <w:lvlJc w:val="left"/>
      <w:pPr>
        <w:ind w:left="709" w:hanging="360"/>
      </w:pPr>
    </w:lvl>
    <w:lvl w:ilvl="1">
      <w:numFmt w:val="bullet"/>
      <w:lvlText w:val="o"/>
      <w:lvlJc w:val="left"/>
      <w:pPr>
        <w:ind w:left="1429" w:hanging="360"/>
      </w:pPr>
    </w:lvl>
    <w:lvl w:ilvl="2">
      <w:numFmt w:val="bullet"/>
      <w:lvlText w:val="§"/>
      <w:lvlJc w:val="left"/>
      <w:pPr>
        <w:ind w:left="2149" w:hanging="360"/>
      </w:pPr>
    </w:lvl>
    <w:lvl w:ilvl="3">
      <w:numFmt w:val="bullet"/>
      <w:lvlText w:val="·"/>
      <w:lvlJc w:val="left"/>
      <w:pPr>
        <w:ind w:left="2869" w:hanging="360"/>
      </w:pPr>
    </w:lvl>
    <w:lvl w:ilvl="4">
      <w:numFmt w:val="bullet"/>
      <w:lvlText w:val="o"/>
      <w:lvlJc w:val="left"/>
      <w:pPr>
        <w:ind w:left="3589" w:hanging="360"/>
      </w:pPr>
    </w:lvl>
    <w:lvl w:ilvl="5">
      <w:numFmt w:val="bullet"/>
      <w:lvlText w:val="§"/>
      <w:lvlJc w:val="left"/>
      <w:pPr>
        <w:ind w:left="4309" w:hanging="360"/>
      </w:pPr>
    </w:lvl>
    <w:lvl w:ilvl="6">
      <w:numFmt w:val="bullet"/>
      <w:lvlText w:val="·"/>
      <w:lvlJc w:val="left"/>
      <w:pPr>
        <w:ind w:left="5029" w:hanging="360"/>
      </w:pPr>
    </w:lvl>
    <w:lvl w:ilvl="7">
      <w:numFmt w:val="bullet"/>
      <w:lvlText w:val="o"/>
      <w:lvlJc w:val="left"/>
      <w:pPr>
        <w:ind w:left="5749" w:hanging="360"/>
      </w:pPr>
    </w:lvl>
    <w:lvl w:ilvl="8">
      <w:numFmt w:val="bullet"/>
      <w:lvlText w:val="§"/>
      <w:lvlJc w:val="left"/>
      <w:pPr>
        <w:ind w:left="6469" w:hanging="360"/>
      </w:pPr>
    </w:lvl>
  </w:abstractNum>
  <w:abstractNum w:abstractNumId="5" w15:restartNumberingAfterBreak="0">
    <w:nsid w:val="084C0365"/>
    <w:multiLevelType w:val="multilevel"/>
    <w:tmpl w:val="D24425B6"/>
    <w:styleLink w:val="WWNum44"/>
    <w:lvl w:ilvl="0">
      <w:numFmt w:val="bullet"/>
      <w:lvlText w:val="–"/>
      <w:lvlJc w:val="left"/>
      <w:pPr>
        <w:ind w:left="1417" w:hanging="360"/>
      </w:pPr>
    </w:lvl>
    <w:lvl w:ilvl="1">
      <w:numFmt w:val="bullet"/>
      <w:lvlText w:val="o"/>
      <w:lvlJc w:val="left"/>
      <w:pPr>
        <w:ind w:left="2137" w:hanging="360"/>
      </w:pPr>
    </w:lvl>
    <w:lvl w:ilvl="2">
      <w:numFmt w:val="bullet"/>
      <w:lvlText w:val="§"/>
      <w:lvlJc w:val="left"/>
      <w:pPr>
        <w:ind w:left="2857" w:hanging="360"/>
      </w:pPr>
    </w:lvl>
    <w:lvl w:ilvl="3">
      <w:numFmt w:val="bullet"/>
      <w:lvlText w:val="·"/>
      <w:lvlJc w:val="left"/>
      <w:pPr>
        <w:ind w:left="3577" w:hanging="360"/>
      </w:pPr>
    </w:lvl>
    <w:lvl w:ilvl="4">
      <w:numFmt w:val="bullet"/>
      <w:lvlText w:val="o"/>
      <w:lvlJc w:val="left"/>
      <w:pPr>
        <w:ind w:left="4297" w:hanging="360"/>
      </w:pPr>
    </w:lvl>
    <w:lvl w:ilvl="5">
      <w:numFmt w:val="bullet"/>
      <w:lvlText w:val="§"/>
      <w:lvlJc w:val="left"/>
      <w:pPr>
        <w:ind w:left="5017" w:hanging="360"/>
      </w:pPr>
    </w:lvl>
    <w:lvl w:ilvl="6">
      <w:numFmt w:val="bullet"/>
      <w:lvlText w:val="·"/>
      <w:lvlJc w:val="left"/>
      <w:pPr>
        <w:ind w:left="5737" w:hanging="360"/>
      </w:pPr>
    </w:lvl>
    <w:lvl w:ilvl="7">
      <w:numFmt w:val="bullet"/>
      <w:lvlText w:val="o"/>
      <w:lvlJc w:val="left"/>
      <w:pPr>
        <w:ind w:left="6457" w:hanging="360"/>
      </w:pPr>
    </w:lvl>
    <w:lvl w:ilvl="8">
      <w:numFmt w:val="bullet"/>
      <w:lvlText w:val="§"/>
      <w:lvlJc w:val="left"/>
      <w:pPr>
        <w:ind w:left="7177" w:hanging="360"/>
      </w:pPr>
    </w:lvl>
  </w:abstractNum>
  <w:abstractNum w:abstractNumId="6" w15:restartNumberingAfterBreak="0">
    <w:nsid w:val="08E324B2"/>
    <w:multiLevelType w:val="multilevel"/>
    <w:tmpl w:val="CEBC7DB6"/>
    <w:styleLink w:val="WWNum59"/>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1" w:hanging="360"/>
      </w:pPr>
    </w:lvl>
    <w:lvl w:ilvl="7">
      <w:numFmt w:val="bullet"/>
      <w:lvlText w:val="o"/>
      <w:lvlJc w:val="left"/>
      <w:pPr>
        <w:ind w:left="5760" w:hanging="360"/>
      </w:pPr>
    </w:lvl>
    <w:lvl w:ilvl="8">
      <w:numFmt w:val="bullet"/>
      <w:lvlText w:val=""/>
      <w:lvlJc w:val="left"/>
      <w:pPr>
        <w:ind w:left="6480" w:hanging="360"/>
      </w:pPr>
    </w:lvl>
  </w:abstractNum>
  <w:abstractNum w:abstractNumId="7" w15:restartNumberingAfterBreak="0">
    <w:nsid w:val="0A674533"/>
    <w:multiLevelType w:val="multilevel"/>
    <w:tmpl w:val="E90ABD12"/>
    <w:styleLink w:val="WWNum2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ACF512F"/>
    <w:multiLevelType w:val="multilevel"/>
    <w:tmpl w:val="64B6F4DA"/>
    <w:styleLink w:val="WWNum58"/>
    <w:lvl w:ilvl="0">
      <w:numFmt w:val="bullet"/>
      <w:lvlText w:val="o"/>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1" w:hanging="360"/>
      </w:pPr>
    </w:lvl>
    <w:lvl w:ilvl="7">
      <w:numFmt w:val="bullet"/>
      <w:lvlText w:val="o"/>
      <w:lvlJc w:val="left"/>
      <w:pPr>
        <w:ind w:left="5760" w:hanging="360"/>
      </w:pPr>
    </w:lvl>
    <w:lvl w:ilvl="8">
      <w:numFmt w:val="bullet"/>
      <w:lvlText w:val=""/>
      <w:lvlJc w:val="left"/>
      <w:pPr>
        <w:ind w:left="6480" w:hanging="360"/>
      </w:pPr>
    </w:lvl>
  </w:abstractNum>
  <w:abstractNum w:abstractNumId="9" w15:restartNumberingAfterBreak="0">
    <w:nsid w:val="10CB7171"/>
    <w:multiLevelType w:val="multilevel"/>
    <w:tmpl w:val="8E8861D0"/>
    <w:styleLink w:val="WWNum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1341C28"/>
    <w:multiLevelType w:val="multilevel"/>
    <w:tmpl w:val="C504A88C"/>
    <w:styleLink w:val="WWNum19"/>
    <w:lvl w:ilvl="0">
      <w:start w:val="1"/>
      <w:numFmt w:val="decimal"/>
      <w:pStyle w:val="Titre9"/>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15E6FF0"/>
    <w:multiLevelType w:val="multilevel"/>
    <w:tmpl w:val="4740E9C2"/>
    <w:styleLink w:val="WWNum1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35722BD"/>
    <w:multiLevelType w:val="multilevel"/>
    <w:tmpl w:val="B6568A46"/>
    <w:styleLink w:val="WWNum47"/>
    <w:lvl w:ilvl="0">
      <w:numFmt w:val="bullet"/>
      <w:lvlText w:val="–"/>
      <w:lvlJc w:val="left"/>
      <w:pPr>
        <w:ind w:left="709" w:hanging="360"/>
      </w:pPr>
    </w:lvl>
    <w:lvl w:ilvl="1">
      <w:numFmt w:val="bullet"/>
      <w:lvlText w:val="o"/>
      <w:lvlJc w:val="left"/>
      <w:pPr>
        <w:ind w:left="1429" w:hanging="360"/>
      </w:pPr>
    </w:lvl>
    <w:lvl w:ilvl="2">
      <w:numFmt w:val="bullet"/>
      <w:lvlText w:val="§"/>
      <w:lvlJc w:val="left"/>
      <w:pPr>
        <w:ind w:left="2149" w:hanging="360"/>
      </w:pPr>
    </w:lvl>
    <w:lvl w:ilvl="3">
      <w:numFmt w:val="bullet"/>
      <w:lvlText w:val="·"/>
      <w:lvlJc w:val="left"/>
      <w:pPr>
        <w:ind w:left="2869" w:hanging="360"/>
      </w:pPr>
    </w:lvl>
    <w:lvl w:ilvl="4">
      <w:numFmt w:val="bullet"/>
      <w:lvlText w:val="o"/>
      <w:lvlJc w:val="left"/>
      <w:pPr>
        <w:ind w:left="3589" w:hanging="360"/>
      </w:pPr>
    </w:lvl>
    <w:lvl w:ilvl="5">
      <w:numFmt w:val="bullet"/>
      <w:lvlText w:val="§"/>
      <w:lvlJc w:val="left"/>
      <w:pPr>
        <w:ind w:left="4309" w:hanging="360"/>
      </w:pPr>
    </w:lvl>
    <w:lvl w:ilvl="6">
      <w:numFmt w:val="bullet"/>
      <w:lvlText w:val="·"/>
      <w:lvlJc w:val="left"/>
      <w:pPr>
        <w:ind w:left="5029" w:hanging="360"/>
      </w:pPr>
    </w:lvl>
    <w:lvl w:ilvl="7">
      <w:numFmt w:val="bullet"/>
      <w:lvlText w:val="o"/>
      <w:lvlJc w:val="left"/>
      <w:pPr>
        <w:ind w:left="5749" w:hanging="360"/>
      </w:pPr>
    </w:lvl>
    <w:lvl w:ilvl="8">
      <w:numFmt w:val="bullet"/>
      <w:lvlText w:val="§"/>
      <w:lvlJc w:val="left"/>
      <w:pPr>
        <w:ind w:left="6469" w:hanging="360"/>
      </w:pPr>
    </w:lvl>
  </w:abstractNum>
  <w:abstractNum w:abstractNumId="13" w15:restartNumberingAfterBreak="0">
    <w:nsid w:val="157973B9"/>
    <w:multiLevelType w:val="multilevel"/>
    <w:tmpl w:val="B64618F2"/>
    <w:styleLink w:val="WWNum61"/>
    <w:lvl w:ilvl="0">
      <w:numFmt w:val="bullet"/>
      <w:lvlText w:val="Ø"/>
      <w:lvlJc w:val="left"/>
      <w:pPr>
        <w:ind w:left="709" w:hanging="360"/>
      </w:pPr>
    </w:lvl>
    <w:lvl w:ilvl="1">
      <w:numFmt w:val="bullet"/>
      <w:lvlText w:val="o"/>
      <w:lvlJc w:val="left"/>
      <w:pPr>
        <w:ind w:left="1429" w:hanging="360"/>
      </w:pPr>
    </w:lvl>
    <w:lvl w:ilvl="2">
      <w:numFmt w:val="bullet"/>
      <w:lvlText w:val="§"/>
      <w:lvlJc w:val="left"/>
      <w:pPr>
        <w:ind w:left="2149" w:hanging="360"/>
      </w:pPr>
    </w:lvl>
    <w:lvl w:ilvl="3">
      <w:numFmt w:val="bullet"/>
      <w:lvlText w:val="·"/>
      <w:lvlJc w:val="left"/>
      <w:pPr>
        <w:ind w:left="2869" w:hanging="360"/>
      </w:pPr>
    </w:lvl>
    <w:lvl w:ilvl="4">
      <w:numFmt w:val="bullet"/>
      <w:lvlText w:val="o"/>
      <w:lvlJc w:val="left"/>
      <w:pPr>
        <w:ind w:left="3589" w:hanging="360"/>
      </w:pPr>
    </w:lvl>
    <w:lvl w:ilvl="5">
      <w:numFmt w:val="bullet"/>
      <w:lvlText w:val="§"/>
      <w:lvlJc w:val="left"/>
      <w:pPr>
        <w:ind w:left="4309" w:hanging="360"/>
      </w:pPr>
    </w:lvl>
    <w:lvl w:ilvl="6">
      <w:numFmt w:val="bullet"/>
      <w:lvlText w:val="·"/>
      <w:lvlJc w:val="left"/>
      <w:pPr>
        <w:ind w:left="5029" w:hanging="360"/>
      </w:pPr>
    </w:lvl>
    <w:lvl w:ilvl="7">
      <w:numFmt w:val="bullet"/>
      <w:lvlText w:val="o"/>
      <w:lvlJc w:val="left"/>
      <w:pPr>
        <w:ind w:left="5749" w:hanging="360"/>
      </w:pPr>
    </w:lvl>
    <w:lvl w:ilvl="8">
      <w:numFmt w:val="bullet"/>
      <w:lvlText w:val="§"/>
      <w:lvlJc w:val="left"/>
      <w:pPr>
        <w:ind w:left="6469" w:hanging="360"/>
      </w:pPr>
    </w:lvl>
  </w:abstractNum>
  <w:abstractNum w:abstractNumId="14" w15:restartNumberingAfterBreak="0">
    <w:nsid w:val="16C41B89"/>
    <w:multiLevelType w:val="multilevel"/>
    <w:tmpl w:val="FB2C6802"/>
    <w:styleLink w:val="WWNum1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9B57A49"/>
    <w:multiLevelType w:val="multilevel"/>
    <w:tmpl w:val="09488AC0"/>
    <w:styleLink w:val="WWNum49"/>
    <w:lvl w:ilvl="0">
      <w:numFmt w:val="bullet"/>
      <w:lvlText w:val="-"/>
      <w:lvlJc w:val="left"/>
      <w:pPr>
        <w:ind w:left="1068" w:hanging="360"/>
      </w:pPr>
    </w:lvl>
    <w:lvl w:ilvl="1">
      <w:numFmt w:val="bullet"/>
      <w:lvlText w:val="o"/>
      <w:lvlJc w:val="left"/>
      <w:pPr>
        <w:ind w:left="1788" w:hanging="360"/>
      </w:pPr>
    </w:lvl>
    <w:lvl w:ilvl="2">
      <w:numFmt w:val="bullet"/>
      <w:lvlText w:val=""/>
      <w:lvlJc w:val="left"/>
      <w:pPr>
        <w:ind w:left="2508" w:hanging="360"/>
      </w:pPr>
    </w:lvl>
    <w:lvl w:ilvl="3">
      <w:numFmt w:val="bullet"/>
      <w:lvlText w:val=""/>
      <w:lvlJc w:val="left"/>
      <w:pPr>
        <w:ind w:left="3228" w:hanging="360"/>
      </w:pPr>
    </w:lvl>
    <w:lvl w:ilvl="4">
      <w:numFmt w:val="bullet"/>
      <w:lvlText w:val="o"/>
      <w:lvlJc w:val="left"/>
      <w:pPr>
        <w:ind w:left="3948" w:hanging="360"/>
      </w:pPr>
    </w:lvl>
    <w:lvl w:ilvl="5">
      <w:numFmt w:val="bullet"/>
      <w:lvlText w:val=""/>
      <w:lvlJc w:val="left"/>
      <w:pPr>
        <w:ind w:left="4668" w:hanging="360"/>
      </w:pPr>
    </w:lvl>
    <w:lvl w:ilvl="6">
      <w:numFmt w:val="bullet"/>
      <w:lvlText w:val=""/>
      <w:lvlJc w:val="left"/>
      <w:pPr>
        <w:ind w:left="5388" w:hanging="360"/>
      </w:pPr>
    </w:lvl>
    <w:lvl w:ilvl="7">
      <w:numFmt w:val="bullet"/>
      <w:lvlText w:val="o"/>
      <w:lvlJc w:val="left"/>
      <w:pPr>
        <w:ind w:left="6106" w:hanging="360"/>
      </w:pPr>
    </w:lvl>
    <w:lvl w:ilvl="8">
      <w:numFmt w:val="bullet"/>
      <w:lvlText w:val=""/>
      <w:lvlJc w:val="left"/>
      <w:pPr>
        <w:ind w:left="6826" w:hanging="360"/>
      </w:pPr>
    </w:lvl>
  </w:abstractNum>
  <w:abstractNum w:abstractNumId="16" w15:restartNumberingAfterBreak="0">
    <w:nsid w:val="1A4B5F46"/>
    <w:multiLevelType w:val="multilevel"/>
    <w:tmpl w:val="B61E5228"/>
    <w:styleLink w:val="WWNum60"/>
    <w:lvl w:ilvl="0">
      <w:numFmt w:val="bullet"/>
      <w:lvlText w:val="o"/>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1" w:hanging="360"/>
      </w:pPr>
    </w:lvl>
    <w:lvl w:ilvl="7">
      <w:numFmt w:val="bullet"/>
      <w:lvlText w:val="o"/>
      <w:lvlJc w:val="left"/>
      <w:pPr>
        <w:ind w:left="5760" w:hanging="360"/>
      </w:pPr>
    </w:lvl>
    <w:lvl w:ilvl="8">
      <w:numFmt w:val="bullet"/>
      <w:lvlText w:val=""/>
      <w:lvlJc w:val="left"/>
      <w:pPr>
        <w:ind w:left="6480" w:hanging="360"/>
      </w:pPr>
    </w:lvl>
  </w:abstractNum>
  <w:abstractNum w:abstractNumId="17" w15:restartNumberingAfterBreak="0">
    <w:nsid w:val="1B1D606D"/>
    <w:multiLevelType w:val="multilevel"/>
    <w:tmpl w:val="1918FA0A"/>
    <w:lvl w:ilvl="0">
      <w:start w:val="1"/>
      <w:numFmt w:val="bullet"/>
      <w:lvlText w:val=""/>
      <w:lvlJc w:val="left"/>
      <w:pPr>
        <w:ind w:left="709" w:hanging="360"/>
      </w:pPr>
      <w:rPr>
        <w:rFonts w:ascii="Symbol" w:hAnsi="Symbol" w:hint="default"/>
      </w:rPr>
    </w:lvl>
    <w:lvl w:ilvl="1">
      <w:numFmt w:val="bullet"/>
      <w:lvlText w:val="o"/>
      <w:lvlJc w:val="left"/>
      <w:pPr>
        <w:ind w:left="1429" w:hanging="360"/>
      </w:pPr>
    </w:lvl>
    <w:lvl w:ilvl="2">
      <w:numFmt w:val="bullet"/>
      <w:lvlText w:val="§"/>
      <w:lvlJc w:val="left"/>
      <w:pPr>
        <w:ind w:left="2149" w:hanging="360"/>
      </w:pPr>
    </w:lvl>
    <w:lvl w:ilvl="3">
      <w:numFmt w:val="bullet"/>
      <w:lvlText w:val="·"/>
      <w:lvlJc w:val="left"/>
      <w:pPr>
        <w:ind w:left="2869" w:hanging="360"/>
      </w:pPr>
    </w:lvl>
    <w:lvl w:ilvl="4">
      <w:numFmt w:val="bullet"/>
      <w:lvlText w:val="o"/>
      <w:lvlJc w:val="left"/>
      <w:pPr>
        <w:ind w:left="3589" w:hanging="360"/>
      </w:pPr>
    </w:lvl>
    <w:lvl w:ilvl="5">
      <w:numFmt w:val="bullet"/>
      <w:lvlText w:val="§"/>
      <w:lvlJc w:val="left"/>
      <w:pPr>
        <w:ind w:left="4309" w:hanging="360"/>
      </w:pPr>
    </w:lvl>
    <w:lvl w:ilvl="6">
      <w:numFmt w:val="bullet"/>
      <w:lvlText w:val="·"/>
      <w:lvlJc w:val="left"/>
      <w:pPr>
        <w:ind w:left="5029" w:hanging="360"/>
      </w:pPr>
    </w:lvl>
    <w:lvl w:ilvl="7">
      <w:numFmt w:val="bullet"/>
      <w:lvlText w:val="o"/>
      <w:lvlJc w:val="left"/>
      <w:pPr>
        <w:ind w:left="5749" w:hanging="360"/>
      </w:pPr>
    </w:lvl>
    <w:lvl w:ilvl="8">
      <w:numFmt w:val="bullet"/>
      <w:lvlText w:val="§"/>
      <w:lvlJc w:val="left"/>
      <w:pPr>
        <w:ind w:left="6469" w:hanging="360"/>
      </w:pPr>
    </w:lvl>
  </w:abstractNum>
  <w:abstractNum w:abstractNumId="18" w15:restartNumberingAfterBreak="0">
    <w:nsid w:val="1B4B48F7"/>
    <w:multiLevelType w:val="multilevel"/>
    <w:tmpl w:val="ECF4FE80"/>
    <w:styleLink w:val="WWNum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B7C1445"/>
    <w:multiLevelType w:val="multilevel"/>
    <w:tmpl w:val="906627BC"/>
    <w:styleLink w:val="WWNum67"/>
    <w:lvl w:ilvl="0">
      <w:numFmt w:val="bullet"/>
      <w:lvlText w:val="o"/>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1" w:hanging="360"/>
      </w:pPr>
    </w:lvl>
    <w:lvl w:ilvl="7">
      <w:numFmt w:val="bullet"/>
      <w:lvlText w:val="o"/>
      <w:lvlJc w:val="left"/>
      <w:pPr>
        <w:ind w:left="5760" w:hanging="360"/>
      </w:pPr>
    </w:lvl>
    <w:lvl w:ilvl="8">
      <w:numFmt w:val="bullet"/>
      <w:lvlText w:val=""/>
      <w:lvlJc w:val="left"/>
      <w:pPr>
        <w:ind w:left="6480" w:hanging="360"/>
      </w:pPr>
    </w:lvl>
  </w:abstractNum>
  <w:abstractNum w:abstractNumId="20" w15:restartNumberingAfterBreak="0">
    <w:nsid w:val="1D9C2299"/>
    <w:multiLevelType w:val="multilevel"/>
    <w:tmpl w:val="ED1A7BDA"/>
    <w:styleLink w:val="WWNum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DA33AD9"/>
    <w:multiLevelType w:val="multilevel"/>
    <w:tmpl w:val="D09A5270"/>
    <w:styleLink w:val="WWNum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21FC75FE"/>
    <w:multiLevelType w:val="multilevel"/>
    <w:tmpl w:val="C28C18AE"/>
    <w:styleLink w:val="WWNum4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226662B8"/>
    <w:multiLevelType w:val="multilevel"/>
    <w:tmpl w:val="D2663B1A"/>
    <w:styleLink w:val="WWNum39"/>
    <w:lvl w:ilvl="0">
      <w:numFmt w:val="bullet"/>
      <w:lvlText w:val="·"/>
      <w:lvlJc w:val="left"/>
      <w:pPr>
        <w:ind w:left="709" w:hanging="360"/>
      </w:pPr>
    </w:lvl>
    <w:lvl w:ilvl="1">
      <w:numFmt w:val="bullet"/>
      <w:lvlText w:val="o"/>
      <w:lvlJc w:val="left"/>
      <w:pPr>
        <w:ind w:left="1429" w:hanging="360"/>
      </w:pPr>
    </w:lvl>
    <w:lvl w:ilvl="2">
      <w:numFmt w:val="bullet"/>
      <w:lvlText w:val="§"/>
      <w:lvlJc w:val="left"/>
      <w:pPr>
        <w:ind w:left="2149" w:hanging="360"/>
      </w:pPr>
    </w:lvl>
    <w:lvl w:ilvl="3">
      <w:numFmt w:val="bullet"/>
      <w:lvlText w:val="·"/>
      <w:lvlJc w:val="left"/>
      <w:pPr>
        <w:ind w:left="2869" w:hanging="360"/>
      </w:pPr>
    </w:lvl>
    <w:lvl w:ilvl="4">
      <w:numFmt w:val="bullet"/>
      <w:lvlText w:val="o"/>
      <w:lvlJc w:val="left"/>
      <w:pPr>
        <w:ind w:left="3589" w:hanging="360"/>
      </w:pPr>
    </w:lvl>
    <w:lvl w:ilvl="5">
      <w:numFmt w:val="bullet"/>
      <w:lvlText w:val="§"/>
      <w:lvlJc w:val="left"/>
      <w:pPr>
        <w:ind w:left="4309" w:hanging="360"/>
      </w:pPr>
    </w:lvl>
    <w:lvl w:ilvl="6">
      <w:numFmt w:val="bullet"/>
      <w:lvlText w:val="·"/>
      <w:lvlJc w:val="left"/>
      <w:pPr>
        <w:ind w:left="5029" w:hanging="360"/>
      </w:pPr>
    </w:lvl>
    <w:lvl w:ilvl="7">
      <w:numFmt w:val="bullet"/>
      <w:lvlText w:val="o"/>
      <w:lvlJc w:val="left"/>
      <w:pPr>
        <w:ind w:left="5749" w:hanging="360"/>
      </w:pPr>
    </w:lvl>
    <w:lvl w:ilvl="8">
      <w:numFmt w:val="bullet"/>
      <w:lvlText w:val="§"/>
      <w:lvlJc w:val="left"/>
      <w:pPr>
        <w:ind w:left="6469" w:hanging="360"/>
      </w:pPr>
    </w:lvl>
  </w:abstractNum>
  <w:abstractNum w:abstractNumId="24" w15:restartNumberingAfterBreak="0">
    <w:nsid w:val="23DF655B"/>
    <w:multiLevelType w:val="multilevel"/>
    <w:tmpl w:val="4C6EAD54"/>
    <w:styleLink w:val="WWNum63"/>
    <w:lvl w:ilvl="0">
      <w:numFmt w:val="bullet"/>
      <w:lvlText w:val="·"/>
      <w:lvlJc w:val="left"/>
      <w:pPr>
        <w:ind w:left="709" w:hanging="360"/>
      </w:pPr>
    </w:lvl>
    <w:lvl w:ilvl="1">
      <w:numFmt w:val="bullet"/>
      <w:lvlText w:val="o"/>
      <w:lvlJc w:val="left"/>
      <w:pPr>
        <w:ind w:left="1429" w:hanging="360"/>
      </w:pPr>
    </w:lvl>
    <w:lvl w:ilvl="2">
      <w:numFmt w:val="bullet"/>
      <w:lvlText w:val="§"/>
      <w:lvlJc w:val="left"/>
      <w:pPr>
        <w:ind w:left="2149" w:hanging="360"/>
      </w:pPr>
    </w:lvl>
    <w:lvl w:ilvl="3">
      <w:numFmt w:val="bullet"/>
      <w:lvlText w:val="·"/>
      <w:lvlJc w:val="left"/>
      <w:pPr>
        <w:ind w:left="2869" w:hanging="360"/>
      </w:pPr>
    </w:lvl>
    <w:lvl w:ilvl="4">
      <w:numFmt w:val="bullet"/>
      <w:lvlText w:val="o"/>
      <w:lvlJc w:val="left"/>
      <w:pPr>
        <w:ind w:left="3589" w:hanging="360"/>
      </w:pPr>
    </w:lvl>
    <w:lvl w:ilvl="5">
      <w:numFmt w:val="bullet"/>
      <w:lvlText w:val="§"/>
      <w:lvlJc w:val="left"/>
      <w:pPr>
        <w:ind w:left="4309" w:hanging="360"/>
      </w:pPr>
    </w:lvl>
    <w:lvl w:ilvl="6">
      <w:numFmt w:val="bullet"/>
      <w:lvlText w:val="·"/>
      <w:lvlJc w:val="left"/>
      <w:pPr>
        <w:ind w:left="5029" w:hanging="360"/>
      </w:pPr>
    </w:lvl>
    <w:lvl w:ilvl="7">
      <w:numFmt w:val="bullet"/>
      <w:lvlText w:val="o"/>
      <w:lvlJc w:val="left"/>
      <w:pPr>
        <w:ind w:left="5749" w:hanging="360"/>
      </w:pPr>
    </w:lvl>
    <w:lvl w:ilvl="8">
      <w:numFmt w:val="bullet"/>
      <w:lvlText w:val="§"/>
      <w:lvlJc w:val="left"/>
      <w:pPr>
        <w:ind w:left="6469" w:hanging="360"/>
      </w:pPr>
    </w:lvl>
  </w:abstractNum>
  <w:abstractNum w:abstractNumId="25" w15:restartNumberingAfterBreak="0">
    <w:nsid w:val="255D0E9A"/>
    <w:multiLevelType w:val="multilevel"/>
    <w:tmpl w:val="CAA6E01C"/>
    <w:styleLink w:val="WWNum43"/>
    <w:lvl w:ilvl="0">
      <w:numFmt w:val="bullet"/>
      <w:lvlText w:null="1"/>
      <w:lvlJc w:val="left"/>
    </w:lvl>
    <w:lvl w:ilvl="1">
      <w:numFmt w:val="bullet"/>
      <w:lvlText w:null="1"/>
      <w:lvlJc w:val="left"/>
    </w:lvl>
    <w:lvl w:ilvl="2">
      <w:numFmt w:val="bullet"/>
      <w:lvlText w:null="1"/>
      <w:lvlJc w:val="left"/>
    </w:lvl>
    <w:lvl w:ilvl="3">
      <w:numFmt w:val="bullet"/>
      <w:lvlText w:null="1"/>
      <w:lvlJc w:val="left"/>
    </w:lvl>
    <w:lvl w:ilvl="4">
      <w:numFmt w:val="bullet"/>
      <w:lvlText w:null="1"/>
      <w:lvlJc w:val="left"/>
    </w:lvl>
    <w:lvl w:ilvl="5">
      <w:numFmt w:val="bullet"/>
      <w:lvlText w:null="1"/>
      <w:lvlJc w:val="left"/>
    </w:lvl>
    <w:lvl w:ilvl="6">
      <w:numFmt w:val="bullet"/>
      <w:lvlText w:null="1"/>
      <w:lvlJc w:val="left"/>
    </w:lvl>
    <w:lvl w:ilvl="7">
      <w:numFmt w:val="bullet"/>
      <w:lvlText w:null="1"/>
      <w:lvlJc w:val="left"/>
    </w:lvl>
    <w:lvl w:ilvl="8">
      <w:numFmt w:val="bullet"/>
      <w:lvlText w:null="1"/>
      <w:lvlJc w:val="left"/>
    </w:lvl>
  </w:abstractNum>
  <w:abstractNum w:abstractNumId="26" w15:restartNumberingAfterBreak="0">
    <w:nsid w:val="29851684"/>
    <w:multiLevelType w:val="multilevel"/>
    <w:tmpl w:val="1A2C9472"/>
    <w:styleLink w:val="WWNum62"/>
    <w:lvl w:ilvl="0">
      <w:numFmt w:val="bullet"/>
      <w:lvlText w:val="·"/>
      <w:lvlJc w:val="left"/>
      <w:pPr>
        <w:ind w:left="709" w:hanging="360"/>
      </w:pPr>
    </w:lvl>
    <w:lvl w:ilvl="1">
      <w:numFmt w:val="bullet"/>
      <w:lvlText w:val="o"/>
      <w:lvlJc w:val="left"/>
      <w:pPr>
        <w:ind w:left="1429" w:hanging="360"/>
      </w:pPr>
    </w:lvl>
    <w:lvl w:ilvl="2">
      <w:numFmt w:val="bullet"/>
      <w:lvlText w:val="§"/>
      <w:lvlJc w:val="left"/>
      <w:pPr>
        <w:ind w:left="2149" w:hanging="360"/>
      </w:pPr>
    </w:lvl>
    <w:lvl w:ilvl="3">
      <w:numFmt w:val="bullet"/>
      <w:lvlText w:val="·"/>
      <w:lvlJc w:val="left"/>
      <w:pPr>
        <w:ind w:left="2869" w:hanging="360"/>
      </w:pPr>
    </w:lvl>
    <w:lvl w:ilvl="4">
      <w:numFmt w:val="bullet"/>
      <w:lvlText w:val="o"/>
      <w:lvlJc w:val="left"/>
      <w:pPr>
        <w:ind w:left="3589" w:hanging="360"/>
      </w:pPr>
    </w:lvl>
    <w:lvl w:ilvl="5">
      <w:numFmt w:val="bullet"/>
      <w:lvlText w:val="§"/>
      <w:lvlJc w:val="left"/>
      <w:pPr>
        <w:ind w:left="4309" w:hanging="360"/>
      </w:pPr>
    </w:lvl>
    <w:lvl w:ilvl="6">
      <w:numFmt w:val="bullet"/>
      <w:lvlText w:val="·"/>
      <w:lvlJc w:val="left"/>
      <w:pPr>
        <w:ind w:left="5029" w:hanging="360"/>
      </w:pPr>
    </w:lvl>
    <w:lvl w:ilvl="7">
      <w:numFmt w:val="bullet"/>
      <w:lvlText w:val="o"/>
      <w:lvlJc w:val="left"/>
      <w:pPr>
        <w:ind w:left="5749" w:hanging="360"/>
      </w:pPr>
    </w:lvl>
    <w:lvl w:ilvl="8">
      <w:numFmt w:val="bullet"/>
      <w:lvlText w:val="§"/>
      <w:lvlJc w:val="left"/>
      <w:pPr>
        <w:ind w:left="6469" w:hanging="360"/>
      </w:pPr>
    </w:lvl>
  </w:abstractNum>
  <w:abstractNum w:abstractNumId="27" w15:restartNumberingAfterBreak="0">
    <w:nsid w:val="2BD0004F"/>
    <w:multiLevelType w:val="multilevel"/>
    <w:tmpl w:val="2CAE7660"/>
    <w:styleLink w:val="WWNum34"/>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1" w:hanging="360"/>
      </w:pPr>
    </w:lvl>
    <w:lvl w:ilvl="7">
      <w:numFmt w:val="bullet"/>
      <w:lvlText w:val="o"/>
      <w:lvlJc w:val="left"/>
      <w:pPr>
        <w:ind w:left="5760" w:hanging="360"/>
      </w:pPr>
    </w:lvl>
    <w:lvl w:ilvl="8">
      <w:numFmt w:val="bullet"/>
      <w:lvlText w:val=""/>
      <w:lvlJc w:val="left"/>
      <w:pPr>
        <w:ind w:left="6480" w:hanging="360"/>
      </w:pPr>
    </w:lvl>
  </w:abstractNum>
  <w:abstractNum w:abstractNumId="28" w15:restartNumberingAfterBreak="0">
    <w:nsid w:val="30EE6A44"/>
    <w:multiLevelType w:val="multilevel"/>
    <w:tmpl w:val="25D01A62"/>
    <w:styleLink w:val="WWNum52"/>
    <w:lvl w:ilvl="0">
      <w:numFmt w:val="bullet"/>
      <w:lvlText w:val="o"/>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1" w:hanging="360"/>
      </w:pPr>
    </w:lvl>
    <w:lvl w:ilvl="7">
      <w:numFmt w:val="bullet"/>
      <w:lvlText w:val="o"/>
      <w:lvlJc w:val="left"/>
      <w:pPr>
        <w:ind w:left="5760" w:hanging="360"/>
      </w:pPr>
    </w:lvl>
    <w:lvl w:ilvl="8">
      <w:numFmt w:val="bullet"/>
      <w:lvlText w:val=""/>
      <w:lvlJc w:val="left"/>
      <w:pPr>
        <w:ind w:left="6480" w:hanging="360"/>
      </w:pPr>
    </w:lvl>
  </w:abstractNum>
  <w:abstractNum w:abstractNumId="29" w15:restartNumberingAfterBreak="0">
    <w:nsid w:val="31B4781C"/>
    <w:multiLevelType w:val="multilevel"/>
    <w:tmpl w:val="2AE4C8B4"/>
    <w:styleLink w:val="WWNum1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3D66795"/>
    <w:multiLevelType w:val="multilevel"/>
    <w:tmpl w:val="2848CC16"/>
    <w:styleLink w:val="WWNum41"/>
    <w:lvl w:ilvl="0">
      <w:numFmt w:val="bullet"/>
      <w:lvlText w:val="–"/>
      <w:lvlJc w:val="left"/>
      <w:pPr>
        <w:ind w:left="1417" w:hanging="360"/>
      </w:pPr>
    </w:lvl>
    <w:lvl w:ilvl="1">
      <w:numFmt w:val="bullet"/>
      <w:lvlText w:val="o"/>
      <w:lvlJc w:val="left"/>
      <w:pPr>
        <w:ind w:left="2137" w:hanging="360"/>
      </w:pPr>
    </w:lvl>
    <w:lvl w:ilvl="2">
      <w:numFmt w:val="bullet"/>
      <w:lvlText w:val="§"/>
      <w:lvlJc w:val="left"/>
      <w:pPr>
        <w:ind w:left="2857" w:hanging="360"/>
      </w:pPr>
    </w:lvl>
    <w:lvl w:ilvl="3">
      <w:numFmt w:val="bullet"/>
      <w:lvlText w:val="·"/>
      <w:lvlJc w:val="left"/>
      <w:pPr>
        <w:ind w:left="3577" w:hanging="360"/>
      </w:pPr>
    </w:lvl>
    <w:lvl w:ilvl="4">
      <w:numFmt w:val="bullet"/>
      <w:lvlText w:val="o"/>
      <w:lvlJc w:val="left"/>
      <w:pPr>
        <w:ind w:left="4297" w:hanging="360"/>
      </w:pPr>
    </w:lvl>
    <w:lvl w:ilvl="5">
      <w:numFmt w:val="bullet"/>
      <w:lvlText w:val="§"/>
      <w:lvlJc w:val="left"/>
      <w:pPr>
        <w:ind w:left="5017" w:hanging="360"/>
      </w:pPr>
    </w:lvl>
    <w:lvl w:ilvl="6">
      <w:numFmt w:val="bullet"/>
      <w:lvlText w:val="·"/>
      <w:lvlJc w:val="left"/>
      <w:pPr>
        <w:ind w:left="5737" w:hanging="360"/>
      </w:pPr>
    </w:lvl>
    <w:lvl w:ilvl="7">
      <w:numFmt w:val="bullet"/>
      <w:lvlText w:val="o"/>
      <w:lvlJc w:val="left"/>
      <w:pPr>
        <w:ind w:left="6457" w:hanging="360"/>
      </w:pPr>
    </w:lvl>
    <w:lvl w:ilvl="8">
      <w:numFmt w:val="bullet"/>
      <w:lvlText w:val="§"/>
      <w:lvlJc w:val="left"/>
      <w:pPr>
        <w:ind w:left="7177" w:hanging="360"/>
      </w:pPr>
    </w:lvl>
  </w:abstractNum>
  <w:abstractNum w:abstractNumId="31" w15:restartNumberingAfterBreak="0">
    <w:nsid w:val="34EC027A"/>
    <w:multiLevelType w:val="multilevel"/>
    <w:tmpl w:val="454A9E2A"/>
    <w:styleLink w:val="WWNum4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36EE1A29"/>
    <w:multiLevelType w:val="multilevel"/>
    <w:tmpl w:val="BA06FB0C"/>
    <w:styleLink w:val="WWNum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7BB4527"/>
    <w:multiLevelType w:val="multilevel"/>
    <w:tmpl w:val="5282B93A"/>
    <w:styleLink w:val="WWNum1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387C347E"/>
    <w:multiLevelType w:val="multilevel"/>
    <w:tmpl w:val="17B25034"/>
    <w:styleLink w:val="WWNum53"/>
    <w:lvl w:ilvl="0">
      <w:numFmt w:val="bullet"/>
      <w:lvlText w:val="o"/>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1" w:hanging="360"/>
      </w:pPr>
    </w:lvl>
    <w:lvl w:ilvl="7">
      <w:numFmt w:val="bullet"/>
      <w:lvlText w:val="o"/>
      <w:lvlJc w:val="left"/>
      <w:pPr>
        <w:ind w:left="5760" w:hanging="360"/>
      </w:pPr>
    </w:lvl>
    <w:lvl w:ilvl="8">
      <w:numFmt w:val="bullet"/>
      <w:lvlText w:val=""/>
      <w:lvlJc w:val="left"/>
      <w:pPr>
        <w:ind w:left="6480" w:hanging="360"/>
      </w:pPr>
    </w:lvl>
  </w:abstractNum>
  <w:abstractNum w:abstractNumId="35" w15:restartNumberingAfterBreak="0">
    <w:nsid w:val="39B47C73"/>
    <w:multiLevelType w:val="multilevel"/>
    <w:tmpl w:val="13CA7A24"/>
    <w:styleLink w:val="WWNum57"/>
    <w:lvl w:ilvl="0">
      <w:numFmt w:val="bullet"/>
      <w:lvlText w:val="·"/>
      <w:lvlJc w:val="left"/>
      <w:pPr>
        <w:ind w:left="709" w:hanging="360"/>
      </w:pPr>
    </w:lvl>
    <w:lvl w:ilvl="1">
      <w:numFmt w:val="bullet"/>
      <w:lvlText w:val="o"/>
      <w:lvlJc w:val="left"/>
      <w:pPr>
        <w:ind w:left="1429" w:hanging="360"/>
      </w:pPr>
    </w:lvl>
    <w:lvl w:ilvl="2">
      <w:numFmt w:val="bullet"/>
      <w:lvlText w:val="§"/>
      <w:lvlJc w:val="left"/>
      <w:pPr>
        <w:ind w:left="2149" w:hanging="360"/>
      </w:pPr>
    </w:lvl>
    <w:lvl w:ilvl="3">
      <w:numFmt w:val="bullet"/>
      <w:lvlText w:val="·"/>
      <w:lvlJc w:val="left"/>
      <w:pPr>
        <w:ind w:left="2869" w:hanging="360"/>
      </w:pPr>
    </w:lvl>
    <w:lvl w:ilvl="4">
      <w:numFmt w:val="bullet"/>
      <w:lvlText w:val="o"/>
      <w:lvlJc w:val="left"/>
      <w:pPr>
        <w:ind w:left="3589" w:hanging="360"/>
      </w:pPr>
    </w:lvl>
    <w:lvl w:ilvl="5">
      <w:numFmt w:val="bullet"/>
      <w:lvlText w:val="§"/>
      <w:lvlJc w:val="left"/>
      <w:pPr>
        <w:ind w:left="4309" w:hanging="360"/>
      </w:pPr>
    </w:lvl>
    <w:lvl w:ilvl="6">
      <w:numFmt w:val="bullet"/>
      <w:lvlText w:val="·"/>
      <w:lvlJc w:val="left"/>
      <w:pPr>
        <w:ind w:left="5029" w:hanging="360"/>
      </w:pPr>
    </w:lvl>
    <w:lvl w:ilvl="7">
      <w:numFmt w:val="bullet"/>
      <w:lvlText w:val="o"/>
      <w:lvlJc w:val="left"/>
      <w:pPr>
        <w:ind w:left="5749" w:hanging="360"/>
      </w:pPr>
    </w:lvl>
    <w:lvl w:ilvl="8">
      <w:numFmt w:val="bullet"/>
      <w:lvlText w:val="§"/>
      <w:lvlJc w:val="left"/>
      <w:pPr>
        <w:ind w:left="6469" w:hanging="360"/>
      </w:pPr>
    </w:lvl>
  </w:abstractNum>
  <w:abstractNum w:abstractNumId="36" w15:restartNumberingAfterBreak="0">
    <w:nsid w:val="3B2F4412"/>
    <w:multiLevelType w:val="multilevel"/>
    <w:tmpl w:val="445CEDD0"/>
    <w:styleLink w:val="WWNum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3B6E2013"/>
    <w:multiLevelType w:val="multilevel"/>
    <w:tmpl w:val="7A520EBC"/>
    <w:styleLink w:val="WWNum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3DC2750E"/>
    <w:multiLevelType w:val="multilevel"/>
    <w:tmpl w:val="E3FA9E68"/>
    <w:styleLink w:val="WWNum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3DF7706B"/>
    <w:multiLevelType w:val="multilevel"/>
    <w:tmpl w:val="02305F00"/>
    <w:styleLink w:val="WWNum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3F3213E5"/>
    <w:multiLevelType w:val="multilevel"/>
    <w:tmpl w:val="EE862AEE"/>
    <w:styleLink w:val="WWNum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0497862"/>
    <w:multiLevelType w:val="multilevel"/>
    <w:tmpl w:val="51C2D8DC"/>
    <w:styleLink w:val="WWNum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49341B5E"/>
    <w:multiLevelType w:val="multilevel"/>
    <w:tmpl w:val="482056A2"/>
    <w:styleLink w:val="WWNum50"/>
    <w:lvl w:ilvl="0">
      <w:numFmt w:val="bullet"/>
      <w:lvlText w:null="1"/>
      <w:lvlJc w:val="left"/>
    </w:lvl>
    <w:lvl w:ilvl="1">
      <w:numFmt w:val="bullet"/>
      <w:lvlText w:null="1"/>
      <w:lvlJc w:val="left"/>
    </w:lvl>
    <w:lvl w:ilvl="2">
      <w:numFmt w:val="bullet"/>
      <w:lvlText w:null="1"/>
      <w:lvlJc w:val="left"/>
    </w:lvl>
    <w:lvl w:ilvl="3">
      <w:numFmt w:val="bullet"/>
      <w:lvlText w:null="1"/>
      <w:lvlJc w:val="left"/>
    </w:lvl>
    <w:lvl w:ilvl="4">
      <w:numFmt w:val="bullet"/>
      <w:lvlText w:null="1"/>
      <w:lvlJc w:val="left"/>
    </w:lvl>
    <w:lvl w:ilvl="5">
      <w:numFmt w:val="bullet"/>
      <w:lvlText w:null="1"/>
      <w:lvlJc w:val="left"/>
    </w:lvl>
    <w:lvl w:ilvl="6">
      <w:numFmt w:val="bullet"/>
      <w:lvlText w:null="1"/>
      <w:lvlJc w:val="left"/>
    </w:lvl>
    <w:lvl w:ilvl="7">
      <w:numFmt w:val="bullet"/>
      <w:lvlText w:null="1"/>
      <w:lvlJc w:val="left"/>
    </w:lvl>
    <w:lvl w:ilvl="8">
      <w:numFmt w:val="bullet"/>
      <w:lvlText w:null="1"/>
      <w:lvlJc w:val="left"/>
    </w:lvl>
  </w:abstractNum>
  <w:abstractNum w:abstractNumId="43" w15:restartNumberingAfterBreak="0">
    <w:nsid w:val="4C3F5E28"/>
    <w:multiLevelType w:val="multilevel"/>
    <w:tmpl w:val="D74CFCD6"/>
    <w:styleLink w:val="WWNum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4CB7474A"/>
    <w:multiLevelType w:val="multilevel"/>
    <w:tmpl w:val="5600D63A"/>
    <w:styleLink w:val="WWNum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4EE90D61"/>
    <w:multiLevelType w:val="multilevel"/>
    <w:tmpl w:val="C9BA5AEE"/>
    <w:styleLink w:val="WWNum55"/>
    <w:lvl w:ilvl="0">
      <w:numFmt w:val="bullet"/>
      <w:lvlText w:val="–"/>
      <w:lvlJc w:val="left"/>
      <w:pPr>
        <w:ind w:left="1417" w:hanging="360"/>
      </w:pPr>
    </w:lvl>
    <w:lvl w:ilvl="1">
      <w:numFmt w:val="bullet"/>
      <w:lvlText w:val="o"/>
      <w:lvlJc w:val="left"/>
      <w:pPr>
        <w:ind w:left="2137" w:hanging="360"/>
      </w:pPr>
    </w:lvl>
    <w:lvl w:ilvl="2">
      <w:numFmt w:val="bullet"/>
      <w:lvlText w:val="§"/>
      <w:lvlJc w:val="left"/>
      <w:pPr>
        <w:ind w:left="2857" w:hanging="360"/>
      </w:pPr>
    </w:lvl>
    <w:lvl w:ilvl="3">
      <w:numFmt w:val="bullet"/>
      <w:lvlText w:val="·"/>
      <w:lvlJc w:val="left"/>
      <w:pPr>
        <w:ind w:left="3577" w:hanging="360"/>
      </w:pPr>
    </w:lvl>
    <w:lvl w:ilvl="4">
      <w:numFmt w:val="bullet"/>
      <w:lvlText w:val="o"/>
      <w:lvlJc w:val="left"/>
      <w:pPr>
        <w:ind w:left="4297" w:hanging="360"/>
      </w:pPr>
    </w:lvl>
    <w:lvl w:ilvl="5">
      <w:numFmt w:val="bullet"/>
      <w:lvlText w:val="§"/>
      <w:lvlJc w:val="left"/>
      <w:pPr>
        <w:ind w:left="5017" w:hanging="360"/>
      </w:pPr>
    </w:lvl>
    <w:lvl w:ilvl="6">
      <w:numFmt w:val="bullet"/>
      <w:lvlText w:val="·"/>
      <w:lvlJc w:val="left"/>
      <w:pPr>
        <w:ind w:left="5737" w:hanging="360"/>
      </w:pPr>
    </w:lvl>
    <w:lvl w:ilvl="7">
      <w:numFmt w:val="bullet"/>
      <w:lvlText w:val="o"/>
      <w:lvlJc w:val="left"/>
      <w:pPr>
        <w:ind w:left="6457" w:hanging="360"/>
      </w:pPr>
    </w:lvl>
    <w:lvl w:ilvl="8">
      <w:numFmt w:val="bullet"/>
      <w:lvlText w:val="§"/>
      <w:lvlJc w:val="left"/>
      <w:pPr>
        <w:ind w:left="7177" w:hanging="360"/>
      </w:pPr>
    </w:lvl>
  </w:abstractNum>
  <w:abstractNum w:abstractNumId="46" w15:restartNumberingAfterBreak="0">
    <w:nsid w:val="4F6A6759"/>
    <w:multiLevelType w:val="multilevel"/>
    <w:tmpl w:val="2A545194"/>
    <w:styleLink w:val="WWNum3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51492707"/>
    <w:multiLevelType w:val="multilevel"/>
    <w:tmpl w:val="D706B25C"/>
    <w:styleLink w:val="WWNum37"/>
    <w:lvl w:ilvl="0">
      <w:numFmt w:val="bullet"/>
      <w:lvlText w:val="·"/>
      <w:lvlJc w:val="left"/>
      <w:pPr>
        <w:ind w:left="709" w:hanging="360"/>
      </w:pPr>
    </w:lvl>
    <w:lvl w:ilvl="1">
      <w:numFmt w:val="bullet"/>
      <w:lvlText w:val="o"/>
      <w:lvlJc w:val="left"/>
      <w:pPr>
        <w:ind w:left="1429" w:hanging="360"/>
      </w:pPr>
    </w:lvl>
    <w:lvl w:ilvl="2">
      <w:numFmt w:val="bullet"/>
      <w:lvlText w:val="§"/>
      <w:lvlJc w:val="left"/>
      <w:pPr>
        <w:ind w:left="2149" w:hanging="360"/>
      </w:pPr>
    </w:lvl>
    <w:lvl w:ilvl="3">
      <w:numFmt w:val="bullet"/>
      <w:lvlText w:val="·"/>
      <w:lvlJc w:val="left"/>
      <w:pPr>
        <w:ind w:left="2869" w:hanging="360"/>
      </w:pPr>
    </w:lvl>
    <w:lvl w:ilvl="4">
      <w:numFmt w:val="bullet"/>
      <w:lvlText w:val="o"/>
      <w:lvlJc w:val="left"/>
      <w:pPr>
        <w:ind w:left="3589" w:hanging="360"/>
      </w:pPr>
    </w:lvl>
    <w:lvl w:ilvl="5">
      <w:numFmt w:val="bullet"/>
      <w:lvlText w:val="§"/>
      <w:lvlJc w:val="left"/>
      <w:pPr>
        <w:ind w:left="4309" w:hanging="360"/>
      </w:pPr>
    </w:lvl>
    <w:lvl w:ilvl="6">
      <w:numFmt w:val="bullet"/>
      <w:lvlText w:val="·"/>
      <w:lvlJc w:val="left"/>
      <w:pPr>
        <w:ind w:left="5029" w:hanging="360"/>
      </w:pPr>
    </w:lvl>
    <w:lvl w:ilvl="7">
      <w:numFmt w:val="bullet"/>
      <w:lvlText w:val="o"/>
      <w:lvlJc w:val="left"/>
      <w:pPr>
        <w:ind w:left="5749" w:hanging="360"/>
      </w:pPr>
    </w:lvl>
    <w:lvl w:ilvl="8">
      <w:numFmt w:val="bullet"/>
      <w:lvlText w:val="§"/>
      <w:lvlJc w:val="left"/>
      <w:pPr>
        <w:ind w:left="6469" w:hanging="360"/>
      </w:pPr>
    </w:lvl>
  </w:abstractNum>
  <w:abstractNum w:abstractNumId="48" w15:restartNumberingAfterBreak="0">
    <w:nsid w:val="56B9301C"/>
    <w:multiLevelType w:val="multilevel"/>
    <w:tmpl w:val="A6A0EC84"/>
    <w:styleLink w:val="WWNum66"/>
    <w:lvl w:ilvl="0">
      <w:numFmt w:val="bullet"/>
      <w:lvlText w:val="Ø"/>
      <w:lvlJc w:val="left"/>
      <w:pPr>
        <w:ind w:left="709" w:hanging="360"/>
      </w:pPr>
    </w:lvl>
    <w:lvl w:ilvl="1">
      <w:numFmt w:val="bullet"/>
      <w:lvlText w:val="o"/>
      <w:lvlJc w:val="left"/>
      <w:pPr>
        <w:ind w:left="1429" w:hanging="360"/>
      </w:pPr>
    </w:lvl>
    <w:lvl w:ilvl="2">
      <w:numFmt w:val="bullet"/>
      <w:lvlText w:val="§"/>
      <w:lvlJc w:val="left"/>
      <w:pPr>
        <w:ind w:left="2149" w:hanging="360"/>
      </w:pPr>
    </w:lvl>
    <w:lvl w:ilvl="3">
      <w:numFmt w:val="bullet"/>
      <w:lvlText w:val="·"/>
      <w:lvlJc w:val="left"/>
      <w:pPr>
        <w:ind w:left="2869" w:hanging="360"/>
      </w:pPr>
    </w:lvl>
    <w:lvl w:ilvl="4">
      <w:numFmt w:val="bullet"/>
      <w:lvlText w:val="o"/>
      <w:lvlJc w:val="left"/>
      <w:pPr>
        <w:ind w:left="3589" w:hanging="360"/>
      </w:pPr>
    </w:lvl>
    <w:lvl w:ilvl="5">
      <w:numFmt w:val="bullet"/>
      <w:lvlText w:val="§"/>
      <w:lvlJc w:val="left"/>
      <w:pPr>
        <w:ind w:left="4309" w:hanging="360"/>
      </w:pPr>
    </w:lvl>
    <w:lvl w:ilvl="6">
      <w:numFmt w:val="bullet"/>
      <w:lvlText w:val="·"/>
      <w:lvlJc w:val="left"/>
      <w:pPr>
        <w:ind w:left="5029" w:hanging="360"/>
      </w:pPr>
    </w:lvl>
    <w:lvl w:ilvl="7">
      <w:numFmt w:val="bullet"/>
      <w:lvlText w:val="o"/>
      <w:lvlJc w:val="left"/>
      <w:pPr>
        <w:ind w:left="5749" w:hanging="360"/>
      </w:pPr>
    </w:lvl>
    <w:lvl w:ilvl="8">
      <w:numFmt w:val="bullet"/>
      <w:lvlText w:val="§"/>
      <w:lvlJc w:val="left"/>
      <w:pPr>
        <w:ind w:left="6469" w:hanging="360"/>
      </w:pPr>
    </w:lvl>
  </w:abstractNum>
  <w:abstractNum w:abstractNumId="49" w15:restartNumberingAfterBreak="0">
    <w:nsid w:val="570D50E8"/>
    <w:multiLevelType w:val="multilevel"/>
    <w:tmpl w:val="1C3A5E20"/>
    <w:styleLink w:val="WWNum40"/>
    <w:lvl w:ilvl="0">
      <w:numFmt w:val="bullet"/>
      <w:lvlText w:val="·"/>
      <w:lvlJc w:val="left"/>
      <w:pPr>
        <w:ind w:left="1417" w:hanging="360"/>
      </w:pPr>
    </w:lvl>
    <w:lvl w:ilvl="1">
      <w:numFmt w:val="bullet"/>
      <w:lvlText w:val="o"/>
      <w:lvlJc w:val="left"/>
      <w:pPr>
        <w:ind w:left="2137" w:hanging="360"/>
      </w:pPr>
    </w:lvl>
    <w:lvl w:ilvl="2">
      <w:numFmt w:val="bullet"/>
      <w:lvlText w:val="§"/>
      <w:lvlJc w:val="left"/>
      <w:pPr>
        <w:ind w:left="2857" w:hanging="360"/>
      </w:pPr>
    </w:lvl>
    <w:lvl w:ilvl="3">
      <w:numFmt w:val="bullet"/>
      <w:lvlText w:val="·"/>
      <w:lvlJc w:val="left"/>
      <w:pPr>
        <w:ind w:left="3577" w:hanging="360"/>
      </w:pPr>
    </w:lvl>
    <w:lvl w:ilvl="4">
      <w:numFmt w:val="bullet"/>
      <w:lvlText w:val="o"/>
      <w:lvlJc w:val="left"/>
      <w:pPr>
        <w:ind w:left="4297" w:hanging="360"/>
      </w:pPr>
    </w:lvl>
    <w:lvl w:ilvl="5">
      <w:numFmt w:val="bullet"/>
      <w:lvlText w:val="§"/>
      <w:lvlJc w:val="left"/>
      <w:pPr>
        <w:ind w:left="5017" w:hanging="360"/>
      </w:pPr>
    </w:lvl>
    <w:lvl w:ilvl="6">
      <w:numFmt w:val="bullet"/>
      <w:lvlText w:val="·"/>
      <w:lvlJc w:val="left"/>
      <w:pPr>
        <w:ind w:left="5737" w:hanging="360"/>
      </w:pPr>
    </w:lvl>
    <w:lvl w:ilvl="7">
      <w:numFmt w:val="bullet"/>
      <w:lvlText w:val="o"/>
      <w:lvlJc w:val="left"/>
      <w:pPr>
        <w:ind w:left="6457" w:hanging="360"/>
      </w:pPr>
    </w:lvl>
    <w:lvl w:ilvl="8">
      <w:numFmt w:val="bullet"/>
      <w:lvlText w:val="§"/>
      <w:lvlJc w:val="left"/>
      <w:pPr>
        <w:ind w:left="7177" w:hanging="360"/>
      </w:pPr>
    </w:lvl>
  </w:abstractNum>
  <w:abstractNum w:abstractNumId="50" w15:restartNumberingAfterBreak="0">
    <w:nsid w:val="57CC6C64"/>
    <w:multiLevelType w:val="multilevel"/>
    <w:tmpl w:val="1FA68C2C"/>
    <w:styleLink w:val="WWNum2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15:restartNumberingAfterBreak="0">
    <w:nsid w:val="57D13BF2"/>
    <w:multiLevelType w:val="multilevel"/>
    <w:tmpl w:val="DA0CB6C6"/>
    <w:styleLink w:val="WWNum2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5FCF5E3C"/>
    <w:multiLevelType w:val="multilevel"/>
    <w:tmpl w:val="CBDE9F66"/>
    <w:styleLink w:val="WWNum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61856732"/>
    <w:multiLevelType w:val="multilevel"/>
    <w:tmpl w:val="553C4E16"/>
    <w:styleLink w:val="WWNum1"/>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1" w:hanging="360"/>
      </w:pPr>
    </w:lvl>
    <w:lvl w:ilvl="7">
      <w:numFmt w:val="bullet"/>
      <w:lvlText w:val="o"/>
      <w:lvlJc w:val="left"/>
      <w:pPr>
        <w:ind w:left="5760" w:hanging="360"/>
      </w:pPr>
    </w:lvl>
    <w:lvl w:ilvl="8">
      <w:numFmt w:val="bullet"/>
      <w:lvlText w:val=""/>
      <w:lvlJc w:val="left"/>
      <w:pPr>
        <w:ind w:left="6480" w:hanging="360"/>
      </w:pPr>
    </w:lvl>
  </w:abstractNum>
  <w:abstractNum w:abstractNumId="54" w15:restartNumberingAfterBreak="0">
    <w:nsid w:val="65040F8D"/>
    <w:multiLevelType w:val="multilevel"/>
    <w:tmpl w:val="A5AC3C28"/>
    <w:styleLink w:val="WWNum33"/>
    <w:lvl w:ilvl="0">
      <w:numFmt w:val="bullet"/>
      <w:lvlText w:val="o"/>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1" w:hanging="360"/>
      </w:pPr>
    </w:lvl>
    <w:lvl w:ilvl="7">
      <w:numFmt w:val="bullet"/>
      <w:lvlText w:val="o"/>
      <w:lvlJc w:val="left"/>
      <w:pPr>
        <w:ind w:left="5760" w:hanging="360"/>
      </w:pPr>
    </w:lvl>
    <w:lvl w:ilvl="8">
      <w:numFmt w:val="bullet"/>
      <w:lvlText w:val=""/>
      <w:lvlJc w:val="left"/>
      <w:pPr>
        <w:ind w:left="6480" w:hanging="360"/>
      </w:pPr>
    </w:lvl>
  </w:abstractNum>
  <w:abstractNum w:abstractNumId="55" w15:restartNumberingAfterBreak="0">
    <w:nsid w:val="66790400"/>
    <w:multiLevelType w:val="multilevel"/>
    <w:tmpl w:val="3A344962"/>
    <w:styleLink w:val="WWNum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67CB366B"/>
    <w:multiLevelType w:val="multilevel"/>
    <w:tmpl w:val="AB98620C"/>
    <w:styleLink w:val="WWNum68"/>
    <w:lvl w:ilvl="0">
      <w:numFmt w:val="bullet"/>
      <w:lvlText w:val=""/>
      <w:lvlJc w:val="left"/>
      <w:pPr>
        <w:ind w:left="1065" w:hanging="360"/>
      </w:pPr>
    </w:lvl>
    <w:lvl w:ilvl="1">
      <w:numFmt w:val="bullet"/>
      <w:lvlText w:val="o"/>
      <w:lvlJc w:val="left"/>
      <w:pPr>
        <w:ind w:left="1785" w:hanging="360"/>
      </w:pPr>
    </w:lvl>
    <w:lvl w:ilvl="2">
      <w:numFmt w:val="bullet"/>
      <w:lvlText w:val=""/>
      <w:lvlJc w:val="left"/>
      <w:pPr>
        <w:ind w:left="2505" w:hanging="360"/>
      </w:pPr>
    </w:lvl>
    <w:lvl w:ilvl="3">
      <w:numFmt w:val="bullet"/>
      <w:lvlText w:val=""/>
      <w:lvlJc w:val="left"/>
      <w:pPr>
        <w:ind w:left="3225" w:hanging="360"/>
      </w:pPr>
    </w:lvl>
    <w:lvl w:ilvl="4">
      <w:numFmt w:val="bullet"/>
      <w:lvlText w:val="o"/>
      <w:lvlJc w:val="left"/>
      <w:pPr>
        <w:ind w:left="3945" w:hanging="360"/>
      </w:pPr>
    </w:lvl>
    <w:lvl w:ilvl="5">
      <w:numFmt w:val="bullet"/>
      <w:lvlText w:val=""/>
      <w:lvlJc w:val="left"/>
      <w:pPr>
        <w:ind w:left="4665" w:hanging="360"/>
      </w:pPr>
    </w:lvl>
    <w:lvl w:ilvl="6">
      <w:numFmt w:val="bullet"/>
      <w:lvlText w:val=""/>
      <w:lvlJc w:val="left"/>
      <w:pPr>
        <w:ind w:left="5385" w:hanging="360"/>
      </w:pPr>
    </w:lvl>
    <w:lvl w:ilvl="7">
      <w:numFmt w:val="bullet"/>
      <w:lvlText w:val="o"/>
      <w:lvlJc w:val="left"/>
      <w:pPr>
        <w:ind w:left="6106" w:hanging="360"/>
      </w:pPr>
    </w:lvl>
    <w:lvl w:ilvl="8">
      <w:numFmt w:val="bullet"/>
      <w:lvlText w:val=""/>
      <w:lvlJc w:val="left"/>
      <w:pPr>
        <w:ind w:left="6826" w:hanging="360"/>
      </w:pPr>
    </w:lvl>
  </w:abstractNum>
  <w:abstractNum w:abstractNumId="57" w15:restartNumberingAfterBreak="0">
    <w:nsid w:val="6B002A67"/>
    <w:multiLevelType w:val="multilevel"/>
    <w:tmpl w:val="C784AE5C"/>
    <w:styleLink w:val="WWNum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CBF25DE"/>
    <w:multiLevelType w:val="multilevel"/>
    <w:tmpl w:val="C93C89F2"/>
    <w:styleLink w:val="WWNum65"/>
    <w:lvl w:ilvl="0">
      <w:numFmt w:val="bullet"/>
      <w:lvlText w:val="·"/>
      <w:lvlJc w:val="left"/>
      <w:pPr>
        <w:ind w:left="1417" w:hanging="360"/>
      </w:pPr>
    </w:lvl>
    <w:lvl w:ilvl="1">
      <w:numFmt w:val="bullet"/>
      <w:lvlText w:val="o"/>
      <w:lvlJc w:val="left"/>
      <w:pPr>
        <w:ind w:left="2137" w:hanging="360"/>
      </w:pPr>
    </w:lvl>
    <w:lvl w:ilvl="2">
      <w:numFmt w:val="bullet"/>
      <w:lvlText w:val="§"/>
      <w:lvlJc w:val="left"/>
      <w:pPr>
        <w:ind w:left="2857" w:hanging="360"/>
      </w:pPr>
    </w:lvl>
    <w:lvl w:ilvl="3">
      <w:numFmt w:val="bullet"/>
      <w:lvlText w:val="·"/>
      <w:lvlJc w:val="left"/>
      <w:pPr>
        <w:ind w:left="3577" w:hanging="360"/>
      </w:pPr>
    </w:lvl>
    <w:lvl w:ilvl="4">
      <w:numFmt w:val="bullet"/>
      <w:lvlText w:val="o"/>
      <w:lvlJc w:val="left"/>
      <w:pPr>
        <w:ind w:left="4297" w:hanging="360"/>
      </w:pPr>
    </w:lvl>
    <w:lvl w:ilvl="5">
      <w:numFmt w:val="bullet"/>
      <w:lvlText w:val="§"/>
      <w:lvlJc w:val="left"/>
      <w:pPr>
        <w:ind w:left="5017" w:hanging="360"/>
      </w:pPr>
    </w:lvl>
    <w:lvl w:ilvl="6">
      <w:numFmt w:val="bullet"/>
      <w:lvlText w:val="·"/>
      <w:lvlJc w:val="left"/>
      <w:pPr>
        <w:ind w:left="5737" w:hanging="360"/>
      </w:pPr>
    </w:lvl>
    <w:lvl w:ilvl="7">
      <w:numFmt w:val="bullet"/>
      <w:lvlText w:val="o"/>
      <w:lvlJc w:val="left"/>
      <w:pPr>
        <w:ind w:left="6457" w:hanging="360"/>
      </w:pPr>
    </w:lvl>
    <w:lvl w:ilvl="8">
      <w:numFmt w:val="bullet"/>
      <w:lvlText w:val="§"/>
      <w:lvlJc w:val="left"/>
      <w:pPr>
        <w:ind w:left="7177" w:hanging="360"/>
      </w:pPr>
    </w:lvl>
  </w:abstractNum>
  <w:abstractNum w:abstractNumId="59" w15:restartNumberingAfterBreak="0">
    <w:nsid w:val="6D97169B"/>
    <w:multiLevelType w:val="multilevel"/>
    <w:tmpl w:val="DE1ED5DE"/>
    <w:styleLink w:val="WWNum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0" w15:restartNumberingAfterBreak="0">
    <w:nsid w:val="6FB11896"/>
    <w:multiLevelType w:val="multilevel"/>
    <w:tmpl w:val="EC9801F8"/>
    <w:styleLink w:val="WWNum35"/>
    <w:lvl w:ilvl="0">
      <w:numFmt w:val="bullet"/>
      <w:lvlText w:val="o"/>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1" w:hanging="360"/>
      </w:pPr>
    </w:lvl>
    <w:lvl w:ilvl="7">
      <w:numFmt w:val="bullet"/>
      <w:lvlText w:val="o"/>
      <w:lvlJc w:val="left"/>
      <w:pPr>
        <w:ind w:left="5760" w:hanging="360"/>
      </w:pPr>
    </w:lvl>
    <w:lvl w:ilvl="8">
      <w:numFmt w:val="bullet"/>
      <w:lvlText w:val=""/>
      <w:lvlJc w:val="left"/>
      <w:pPr>
        <w:ind w:left="6480" w:hanging="360"/>
      </w:pPr>
    </w:lvl>
  </w:abstractNum>
  <w:abstractNum w:abstractNumId="61" w15:restartNumberingAfterBreak="0">
    <w:nsid w:val="73DD47D9"/>
    <w:multiLevelType w:val="multilevel"/>
    <w:tmpl w:val="4A16C028"/>
    <w:styleLink w:val="WWNum2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2" w15:restartNumberingAfterBreak="0">
    <w:nsid w:val="750D3653"/>
    <w:multiLevelType w:val="multilevel"/>
    <w:tmpl w:val="7EA4E914"/>
    <w:styleLink w:val="WWNum51"/>
    <w:lvl w:ilvl="0">
      <w:numFmt w:val="bullet"/>
      <w:lvlText w:null="1"/>
      <w:lvlJc w:val="left"/>
    </w:lvl>
    <w:lvl w:ilvl="1">
      <w:numFmt w:val="bullet"/>
      <w:lvlText w:null="1"/>
      <w:lvlJc w:val="left"/>
    </w:lvl>
    <w:lvl w:ilvl="2">
      <w:numFmt w:val="bullet"/>
      <w:lvlText w:null="1"/>
      <w:lvlJc w:val="left"/>
    </w:lvl>
    <w:lvl w:ilvl="3">
      <w:numFmt w:val="bullet"/>
      <w:lvlText w:null="1"/>
      <w:lvlJc w:val="left"/>
    </w:lvl>
    <w:lvl w:ilvl="4">
      <w:numFmt w:val="bullet"/>
      <w:lvlText w:null="1"/>
      <w:lvlJc w:val="left"/>
    </w:lvl>
    <w:lvl w:ilvl="5">
      <w:numFmt w:val="bullet"/>
      <w:lvlText w:null="1"/>
      <w:lvlJc w:val="left"/>
    </w:lvl>
    <w:lvl w:ilvl="6">
      <w:numFmt w:val="bullet"/>
      <w:lvlText w:null="1"/>
      <w:lvlJc w:val="left"/>
    </w:lvl>
    <w:lvl w:ilvl="7">
      <w:numFmt w:val="bullet"/>
      <w:lvlText w:null="1"/>
      <w:lvlJc w:val="left"/>
    </w:lvl>
    <w:lvl w:ilvl="8">
      <w:numFmt w:val="bullet"/>
      <w:lvlText w:null="1"/>
      <w:lvlJc w:val="left"/>
    </w:lvl>
  </w:abstractNum>
  <w:abstractNum w:abstractNumId="63" w15:restartNumberingAfterBreak="0">
    <w:nsid w:val="761C6A17"/>
    <w:multiLevelType w:val="multilevel"/>
    <w:tmpl w:val="5E94BA9A"/>
    <w:styleLink w:val="WWNum42"/>
    <w:lvl w:ilvl="0">
      <w:numFmt w:val="bullet"/>
      <w:lvlText w:val="–"/>
      <w:lvlJc w:val="left"/>
      <w:pPr>
        <w:ind w:left="1417" w:hanging="360"/>
      </w:pPr>
    </w:lvl>
    <w:lvl w:ilvl="1">
      <w:numFmt w:val="bullet"/>
      <w:lvlText w:val="o"/>
      <w:lvlJc w:val="left"/>
      <w:pPr>
        <w:ind w:left="2137" w:hanging="360"/>
      </w:pPr>
    </w:lvl>
    <w:lvl w:ilvl="2">
      <w:numFmt w:val="bullet"/>
      <w:lvlText w:val="§"/>
      <w:lvlJc w:val="left"/>
      <w:pPr>
        <w:ind w:left="2857" w:hanging="360"/>
      </w:pPr>
    </w:lvl>
    <w:lvl w:ilvl="3">
      <w:numFmt w:val="bullet"/>
      <w:lvlText w:val="·"/>
      <w:lvlJc w:val="left"/>
      <w:pPr>
        <w:ind w:left="3577" w:hanging="360"/>
      </w:pPr>
    </w:lvl>
    <w:lvl w:ilvl="4">
      <w:numFmt w:val="bullet"/>
      <w:lvlText w:val="o"/>
      <w:lvlJc w:val="left"/>
      <w:pPr>
        <w:ind w:left="4297" w:hanging="360"/>
      </w:pPr>
    </w:lvl>
    <w:lvl w:ilvl="5">
      <w:numFmt w:val="bullet"/>
      <w:lvlText w:val="§"/>
      <w:lvlJc w:val="left"/>
      <w:pPr>
        <w:ind w:left="5017" w:hanging="360"/>
      </w:pPr>
    </w:lvl>
    <w:lvl w:ilvl="6">
      <w:numFmt w:val="bullet"/>
      <w:lvlText w:val="·"/>
      <w:lvlJc w:val="left"/>
      <w:pPr>
        <w:ind w:left="5737" w:hanging="360"/>
      </w:pPr>
    </w:lvl>
    <w:lvl w:ilvl="7">
      <w:numFmt w:val="bullet"/>
      <w:lvlText w:val="o"/>
      <w:lvlJc w:val="left"/>
      <w:pPr>
        <w:ind w:left="6457" w:hanging="360"/>
      </w:pPr>
    </w:lvl>
    <w:lvl w:ilvl="8">
      <w:numFmt w:val="bullet"/>
      <w:lvlText w:val="§"/>
      <w:lvlJc w:val="left"/>
      <w:pPr>
        <w:ind w:left="7177" w:hanging="360"/>
      </w:pPr>
    </w:lvl>
  </w:abstractNum>
  <w:abstractNum w:abstractNumId="64" w15:restartNumberingAfterBreak="0">
    <w:nsid w:val="782E574A"/>
    <w:multiLevelType w:val="multilevel"/>
    <w:tmpl w:val="D8409002"/>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1"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65" w15:restartNumberingAfterBreak="0">
    <w:nsid w:val="784658DC"/>
    <w:multiLevelType w:val="multilevel"/>
    <w:tmpl w:val="7BE45322"/>
    <w:styleLink w:val="WWNum36"/>
    <w:lvl w:ilvl="0">
      <w:numFmt w:val="bullet"/>
      <w:lvlText w:val="Ø"/>
      <w:lvlJc w:val="left"/>
      <w:pPr>
        <w:ind w:left="709" w:hanging="360"/>
      </w:pPr>
    </w:lvl>
    <w:lvl w:ilvl="1">
      <w:numFmt w:val="bullet"/>
      <w:lvlText w:val="o"/>
      <w:lvlJc w:val="left"/>
      <w:pPr>
        <w:ind w:left="1429" w:hanging="360"/>
      </w:pPr>
    </w:lvl>
    <w:lvl w:ilvl="2">
      <w:numFmt w:val="bullet"/>
      <w:lvlText w:val="§"/>
      <w:lvlJc w:val="left"/>
      <w:pPr>
        <w:ind w:left="2149" w:hanging="360"/>
      </w:pPr>
    </w:lvl>
    <w:lvl w:ilvl="3">
      <w:numFmt w:val="bullet"/>
      <w:lvlText w:val="·"/>
      <w:lvlJc w:val="left"/>
      <w:pPr>
        <w:ind w:left="2869" w:hanging="360"/>
      </w:pPr>
    </w:lvl>
    <w:lvl w:ilvl="4">
      <w:numFmt w:val="bullet"/>
      <w:lvlText w:val="o"/>
      <w:lvlJc w:val="left"/>
      <w:pPr>
        <w:ind w:left="3589" w:hanging="360"/>
      </w:pPr>
    </w:lvl>
    <w:lvl w:ilvl="5">
      <w:numFmt w:val="bullet"/>
      <w:lvlText w:val="§"/>
      <w:lvlJc w:val="left"/>
      <w:pPr>
        <w:ind w:left="4309" w:hanging="360"/>
      </w:pPr>
    </w:lvl>
    <w:lvl w:ilvl="6">
      <w:numFmt w:val="bullet"/>
      <w:lvlText w:val="·"/>
      <w:lvlJc w:val="left"/>
      <w:pPr>
        <w:ind w:left="5029" w:hanging="360"/>
      </w:pPr>
    </w:lvl>
    <w:lvl w:ilvl="7">
      <w:numFmt w:val="bullet"/>
      <w:lvlText w:val="o"/>
      <w:lvlJc w:val="left"/>
      <w:pPr>
        <w:ind w:left="5749" w:hanging="360"/>
      </w:pPr>
    </w:lvl>
    <w:lvl w:ilvl="8">
      <w:numFmt w:val="bullet"/>
      <w:lvlText w:val="§"/>
      <w:lvlJc w:val="left"/>
      <w:pPr>
        <w:ind w:left="6469" w:hanging="360"/>
      </w:pPr>
    </w:lvl>
  </w:abstractNum>
  <w:abstractNum w:abstractNumId="66" w15:restartNumberingAfterBreak="0">
    <w:nsid w:val="785069F8"/>
    <w:multiLevelType w:val="multilevel"/>
    <w:tmpl w:val="50CE65CC"/>
    <w:styleLink w:val="WWNum30"/>
    <w:lvl w:ilvl="0">
      <w:numFmt w:val="bullet"/>
      <w:lvlText w:val=""/>
      <w:lvlJc w:val="left"/>
      <w:pPr>
        <w:ind w:left="1065" w:hanging="360"/>
      </w:pPr>
    </w:lvl>
    <w:lvl w:ilvl="1">
      <w:numFmt w:val="bullet"/>
      <w:lvlText w:val="o"/>
      <w:lvlJc w:val="left"/>
      <w:pPr>
        <w:ind w:left="1785" w:hanging="360"/>
      </w:pPr>
    </w:lvl>
    <w:lvl w:ilvl="2">
      <w:numFmt w:val="bullet"/>
      <w:lvlText w:val=""/>
      <w:lvlJc w:val="left"/>
      <w:pPr>
        <w:ind w:left="2505" w:hanging="360"/>
      </w:pPr>
    </w:lvl>
    <w:lvl w:ilvl="3">
      <w:numFmt w:val="bullet"/>
      <w:lvlText w:val=""/>
      <w:lvlJc w:val="left"/>
      <w:pPr>
        <w:ind w:left="3225" w:hanging="360"/>
      </w:pPr>
    </w:lvl>
    <w:lvl w:ilvl="4">
      <w:numFmt w:val="bullet"/>
      <w:lvlText w:val="o"/>
      <w:lvlJc w:val="left"/>
      <w:pPr>
        <w:ind w:left="3945" w:hanging="360"/>
      </w:pPr>
    </w:lvl>
    <w:lvl w:ilvl="5">
      <w:numFmt w:val="bullet"/>
      <w:lvlText w:val=""/>
      <w:lvlJc w:val="left"/>
      <w:pPr>
        <w:ind w:left="4665" w:hanging="360"/>
      </w:pPr>
    </w:lvl>
    <w:lvl w:ilvl="6">
      <w:numFmt w:val="bullet"/>
      <w:lvlText w:val=""/>
      <w:lvlJc w:val="left"/>
      <w:pPr>
        <w:ind w:left="5385" w:hanging="360"/>
      </w:pPr>
    </w:lvl>
    <w:lvl w:ilvl="7">
      <w:numFmt w:val="bullet"/>
      <w:lvlText w:val="o"/>
      <w:lvlJc w:val="left"/>
      <w:pPr>
        <w:ind w:left="6106" w:hanging="360"/>
      </w:pPr>
    </w:lvl>
    <w:lvl w:ilvl="8">
      <w:numFmt w:val="bullet"/>
      <w:lvlText w:val=""/>
      <w:lvlJc w:val="left"/>
      <w:pPr>
        <w:ind w:left="6826" w:hanging="360"/>
      </w:pPr>
    </w:lvl>
  </w:abstractNum>
  <w:abstractNum w:abstractNumId="67" w15:restartNumberingAfterBreak="0">
    <w:nsid w:val="7AF432D4"/>
    <w:multiLevelType w:val="multilevel"/>
    <w:tmpl w:val="5F18754E"/>
    <w:styleLink w:val="WWNum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8" w15:restartNumberingAfterBreak="0">
    <w:nsid w:val="7CD673D0"/>
    <w:multiLevelType w:val="multilevel"/>
    <w:tmpl w:val="827A0364"/>
    <w:styleLink w:val="WWNum45"/>
    <w:lvl w:ilvl="0">
      <w:numFmt w:val="bullet"/>
      <w:lvlText w:val="–"/>
      <w:lvlJc w:val="left"/>
      <w:pPr>
        <w:ind w:left="709" w:hanging="360"/>
      </w:pPr>
    </w:lvl>
    <w:lvl w:ilvl="1">
      <w:numFmt w:val="bullet"/>
      <w:lvlText w:val="o"/>
      <w:lvlJc w:val="left"/>
      <w:pPr>
        <w:ind w:left="1429" w:hanging="360"/>
      </w:pPr>
    </w:lvl>
    <w:lvl w:ilvl="2">
      <w:numFmt w:val="bullet"/>
      <w:lvlText w:val="§"/>
      <w:lvlJc w:val="left"/>
      <w:pPr>
        <w:ind w:left="2149" w:hanging="360"/>
      </w:pPr>
    </w:lvl>
    <w:lvl w:ilvl="3">
      <w:numFmt w:val="bullet"/>
      <w:lvlText w:val="·"/>
      <w:lvlJc w:val="left"/>
      <w:pPr>
        <w:ind w:left="2869" w:hanging="360"/>
      </w:pPr>
    </w:lvl>
    <w:lvl w:ilvl="4">
      <w:numFmt w:val="bullet"/>
      <w:lvlText w:val="o"/>
      <w:lvlJc w:val="left"/>
      <w:pPr>
        <w:ind w:left="3589" w:hanging="360"/>
      </w:pPr>
    </w:lvl>
    <w:lvl w:ilvl="5">
      <w:numFmt w:val="bullet"/>
      <w:lvlText w:val="§"/>
      <w:lvlJc w:val="left"/>
      <w:pPr>
        <w:ind w:left="4309" w:hanging="360"/>
      </w:pPr>
    </w:lvl>
    <w:lvl w:ilvl="6">
      <w:numFmt w:val="bullet"/>
      <w:lvlText w:val="·"/>
      <w:lvlJc w:val="left"/>
      <w:pPr>
        <w:ind w:left="5029" w:hanging="360"/>
      </w:pPr>
    </w:lvl>
    <w:lvl w:ilvl="7">
      <w:numFmt w:val="bullet"/>
      <w:lvlText w:val="o"/>
      <w:lvlJc w:val="left"/>
      <w:pPr>
        <w:ind w:left="5749" w:hanging="360"/>
      </w:pPr>
    </w:lvl>
    <w:lvl w:ilvl="8">
      <w:numFmt w:val="bullet"/>
      <w:lvlText w:val="§"/>
      <w:lvlJc w:val="left"/>
      <w:pPr>
        <w:ind w:left="6469" w:hanging="360"/>
      </w:pPr>
    </w:lvl>
  </w:abstractNum>
  <w:num w:numId="1">
    <w:abstractNumId w:val="53"/>
  </w:num>
  <w:num w:numId="2">
    <w:abstractNumId w:val="64"/>
  </w:num>
  <w:num w:numId="3">
    <w:abstractNumId w:val="20"/>
  </w:num>
  <w:num w:numId="4">
    <w:abstractNumId w:val="57"/>
  </w:num>
  <w:num w:numId="5">
    <w:abstractNumId w:val="40"/>
  </w:num>
  <w:num w:numId="6">
    <w:abstractNumId w:val="21"/>
  </w:num>
  <w:num w:numId="7">
    <w:abstractNumId w:val="3"/>
  </w:num>
  <w:num w:numId="8">
    <w:abstractNumId w:val="67"/>
  </w:num>
  <w:num w:numId="9">
    <w:abstractNumId w:val="43"/>
  </w:num>
  <w:num w:numId="10">
    <w:abstractNumId w:val="18"/>
  </w:num>
  <w:num w:numId="11">
    <w:abstractNumId w:val="9"/>
  </w:num>
  <w:num w:numId="12">
    <w:abstractNumId w:val="59"/>
  </w:num>
  <w:num w:numId="13">
    <w:abstractNumId w:val="14"/>
  </w:num>
  <w:num w:numId="14">
    <w:abstractNumId w:val="38"/>
  </w:num>
  <w:num w:numId="15">
    <w:abstractNumId w:val="33"/>
  </w:num>
  <w:num w:numId="16">
    <w:abstractNumId w:val="41"/>
  </w:num>
  <w:num w:numId="17">
    <w:abstractNumId w:val="11"/>
  </w:num>
  <w:num w:numId="18">
    <w:abstractNumId w:val="29"/>
  </w:num>
  <w:num w:numId="19">
    <w:abstractNumId w:val="10"/>
  </w:num>
  <w:num w:numId="20">
    <w:abstractNumId w:val="39"/>
  </w:num>
  <w:num w:numId="21">
    <w:abstractNumId w:val="7"/>
  </w:num>
  <w:num w:numId="22">
    <w:abstractNumId w:val="0"/>
  </w:num>
  <w:num w:numId="23">
    <w:abstractNumId w:val="51"/>
  </w:num>
  <w:num w:numId="24">
    <w:abstractNumId w:val="36"/>
  </w:num>
  <w:num w:numId="25">
    <w:abstractNumId w:val="55"/>
  </w:num>
  <w:num w:numId="26">
    <w:abstractNumId w:val="44"/>
  </w:num>
  <w:num w:numId="27">
    <w:abstractNumId w:val="61"/>
  </w:num>
  <w:num w:numId="28">
    <w:abstractNumId w:val="37"/>
  </w:num>
  <w:num w:numId="29">
    <w:abstractNumId w:val="50"/>
  </w:num>
  <w:num w:numId="30">
    <w:abstractNumId w:val="66"/>
  </w:num>
  <w:num w:numId="31">
    <w:abstractNumId w:val="46"/>
  </w:num>
  <w:num w:numId="32">
    <w:abstractNumId w:val="4"/>
  </w:num>
  <w:num w:numId="33">
    <w:abstractNumId w:val="54"/>
  </w:num>
  <w:num w:numId="34">
    <w:abstractNumId w:val="27"/>
  </w:num>
  <w:num w:numId="35">
    <w:abstractNumId w:val="60"/>
  </w:num>
  <w:num w:numId="36">
    <w:abstractNumId w:val="65"/>
  </w:num>
  <w:num w:numId="37">
    <w:abstractNumId w:val="47"/>
  </w:num>
  <w:num w:numId="38">
    <w:abstractNumId w:val="2"/>
  </w:num>
  <w:num w:numId="39">
    <w:abstractNumId w:val="23"/>
  </w:num>
  <w:num w:numId="40">
    <w:abstractNumId w:val="49"/>
  </w:num>
  <w:num w:numId="41">
    <w:abstractNumId w:val="30"/>
  </w:num>
  <w:num w:numId="42">
    <w:abstractNumId w:val="63"/>
  </w:num>
  <w:num w:numId="43">
    <w:abstractNumId w:val="25"/>
  </w:num>
  <w:num w:numId="44">
    <w:abstractNumId w:val="5"/>
  </w:num>
  <w:num w:numId="45">
    <w:abstractNumId w:val="68"/>
  </w:num>
  <w:num w:numId="46">
    <w:abstractNumId w:val="31"/>
  </w:num>
  <w:num w:numId="47">
    <w:abstractNumId w:val="12"/>
  </w:num>
  <w:num w:numId="48">
    <w:abstractNumId w:val="22"/>
  </w:num>
  <w:num w:numId="49">
    <w:abstractNumId w:val="15"/>
  </w:num>
  <w:num w:numId="50">
    <w:abstractNumId w:val="42"/>
  </w:num>
  <w:num w:numId="51">
    <w:abstractNumId w:val="62"/>
  </w:num>
  <w:num w:numId="52">
    <w:abstractNumId w:val="28"/>
  </w:num>
  <w:num w:numId="53">
    <w:abstractNumId w:val="34"/>
  </w:num>
  <w:num w:numId="54">
    <w:abstractNumId w:val="32"/>
  </w:num>
  <w:num w:numId="55">
    <w:abstractNumId w:val="45"/>
  </w:num>
  <w:num w:numId="56">
    <w:abstractNumId w:val="52"/>
  </w:num>
  <w:num w:numId="57">
    <w:abstractNumId w:val="35"/>
  </w:num>
  <w:num w:numId="58">
    <w:abstractNumId w:val="8"/>
  </w:num>
  <w:num w:numId="59">
    <w:abstractNumId w:val="6"/>
  </w:num>
  <w:num w:numId="60">
    <w:abstractNumId w:val="16"/>
  </w:num>
  <w:num w:numId="61">
    <w:abstractNumId w:val="13"/>
  </w:num>
  <w:num w:numId="62">
    <w:abstractNumId w:val="26"/>
  </w:num>
  <w:num w:numId="63">
    <w:abstractNumId w:val="24"/>
  </w:num>
  <w:num w:numId="64">
    <w:abstractNumId w:val="1"/>
  </w:num>
  <w:num w:numId="65">
    <w:abstractNumId w:val="58"/>
  </w:num>
  <w:num w:numId="66">
    <w:abstractNumId w:val="48"/>
  </w:num>
  <w:num w:numId="67">
    <w:abstractNumId w:val="19"/>
  </w:num>
  <w:num w:numId="68">
    <w:abstractNumId w:val="56"/>
  </w:num>
  <w:num w:numId="69">
    <w:abstractNumId w:val="1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F8545A"/>
    <w:rsid w:val="000F7186"/>
    <w:rsid w:val="00535C8E"/>
    <w:rsid w:val="007475C7"/>
    <w:rsid w:val="00D218BE"/>
    <w:rsid w:val="00F31069"/>
    <w:rsid w:val="00F854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101C2"/>
  <w15:docId w15:val="{BCAF690E-3EA1-4EBB-B151-56639E52B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kern w:val="3"/>
        <w:sz w:val="24"/>
        <w:szCs w:val="22"/>
        <w:lang w:val="fr-FR" w:eastAsia="fr-FR" w:bidi="ar-SA"/>
      </w:rPr>
    </w:rPrDefault>
    <w:pPrDefault>
      <w:pPr>
        <w:widowControl w:val="0"/>
        <w:suppressAutoHyphens/>
        <w:overflowPunct w:val="0"/>
        <w:autoSpaceDE w:val="0"/>
        <w:autoSpaceDN w:val="0"/>
        <w:spacing w:after="160" w:line="277"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pPr>
      <w:spacing w:before="360" w:after="80"/>
      <w:outlineLvl w:val="0"/>
    </w:pPr>
    <w:rPr>
      <w:rFonts w:ascii="Aptos Display" w:eastAsia="Aptos Display" w:hAnsi="Aptos Display" w:cs="Aptos Display"/>
      <w:color w:val="0F4761"/>
      <w:sz w:val="40"/>
    </w:rPr>
  </w:style>
  <w:style w:type="paragraph" w:styleId="Titre2">
    <w:name w:val="heading 2"/>
    <w:basedOn w:val="Normal"/>
    <w:pPr>
      <w:spacing w:before="160" w:after="80"/>
      <w:outlineLvl w:val="1"/>
    </w:pPr>
    <w:rPr>
      <w:rFonts w:ascii="Aptos Display" w:eastAsia="Aptos Display" w:hAnsi="Aptos Display" w:cs="Aptos Display"/>
      <w:color w:val="0F4761"/>
      <w:sz w:val="32"/>
    </w:rPr>
  </w:style>
  <w:style w:type="paragraph" w:styleId="Titre3">
    <w:name w:val="heading 3"/>
    <w:basedOn w:val="Normal"/>
    <w:pPr>
      <w:spacing w:before="160" w:after="80"/>
      <w:outlineLvl w:val="2"/>
    </w:pPr>
    <w:rPr>
      <w:color w:val="0F4761"/>
      <w:sz w:val="28"/>
    </w:rPr>
  </w:style>
  <w:style w:type="paragraph" w:styleId="Titre4">
    <w:name w:val="heading 4"/>
    <w:basedOn w:val="Normal"/>
    <w:pPr>
      <w:spacing w:before="80" w:after="40"/>
      <w:outlineLvl w:val="3"/>
    </w:pPr>
    <w:rPr>
      <w:i/>
      <w:color w:val="0F4761"/>
    </w:rPr>
  </w:style>
  <w:style w:type="paragraph" w:styleId="Titre5">
    <w:name w:val="heading 5"/>
    <w:basedOn w:val="Normal"/>
    <w:pPr>
      <w:spacing w:before="80" w:after="40"/>
      <w:outlineLvl w:val="4"/>
    </w:pPr>
    <w:rPr>
      <w:color w:val="0F4761"/>
    </w:rPr>
  </w:style>
  <w:style w:type="paragraph" w:styleId="Titre6">
    <w:name w:val="heading 6"/>
    <w:basedOn w:val="Normal"/>
    <w:pPr>
      <w:spacing w:before="40" w:after="0"/>
      <w:outlineLvl w:val="5"/>
    </w:pPr>
    <w:rPr>
      <w:i/>
      <w:color w:val="595959"/>
    </w:rPr>
  </w:style>
  <w:style w:type="paragraph" w:styleId="Titre7">
    <w:name w:val="heading 7"/>
    <w:basedOn w:val="Normal"/>
    <w:pPr>
      <w:spacing w:before="40" w:after="0"/>
      <w:outlineLvl w:val="6"/>
    </w:pPr>
    <w:rPr>
      <w:color w:val="595959"/>
    </w:rPr>
  </w:style>
  <w:style w:type="paragraph" w:styleId="Titre8">
    <w:name w:val="heading 8"/>
    <w:basedOn w:val="Normal"/>
    <w:pPr>
      <w:spacing w:after="0"/>
      <w:outlineLvl w:val="7"/>
    </w:pPr>
    <w:rPr>
      <w:i/>
      <w:color w:val="272727"/>
    </w:rPr>
  </w:style>
  <w:style w:type="paragraph" w:styleId="Titre9">
    <w:name w:val="heading 9"/>
    <w:basedOn w:val="Normal"/>
    <w:pPr>
      <w:numPr>
        <w:numId w:val="19"/>
      </w:numPr>
      <w:spacing w:after="0"/>
      <w:outlineLvl w:val="8"/>
    </w:pPr>
    <w:rPr>
      <w:color w:val="2727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pPr>
      <w:spacing w:after="100"/>
    </w:pPr>
  </w:style>
  <w:style w:type="paragraph" w:styleId="TM2">
    <w:name w:val="toc 2"/>
    <w:basedOn w:val="Normal"/>
    <w:pPr>
      <w:spacing w:after="100"/>
      <w:ind w:left="220"/>
    </w:pPr>
  </w:style>
  <w:style w:type="paragraph" w:styleId="TM3">
    <w:name w:val="toc 3"/>
    <w:basedOn w:val="Normal"/>
    <w:pPr>
      <w:spacing w:after="100"/>
      <w:ind w:left="440"/>
    </w:pPr>
  </w:style>
  <w:style w:type="paragraph" w:styleId="TM4">
    <w:name w:val="toc 4"/>
    <w:basedOn w:val="Normal"/>
    <w:pPr>
      <w:spacing w:after="100"/>
      <w:ind w:left="660"/>
    </w:pPr>
  </w:style>
  <w:style w:type="paragraph" w:styleId="TM5">
    <w:name w:val="toc 5"/>
    <w:basedOn w:val="Normal"/>
    <w:pPr>
      <w:spacing w:after="100"/>
      <w:ind w:left="880"/>
    </w:pPr>
  </w:style>
  <w:style w:type="paragraph" w:styleId="TM6">
    <w:name w:val="toc 6"/>
    <w:basedOn w:val="Normal"/>
    <w:pPr>
      <w:spacing w:after="100"/>
      <w:ind w:left="1100"/>
    </w:pPr>
  </w:style>
  <w:style w:type="paragraph" w:styleId="TM7">
    <w:name w:val="toc 7"/>
    <w:basedOn w:val="Normal"/>
    <w:pPr>
      <w:spacing w:after="100"/>
      <w:ind w:left="1320"/>
    </w:pPr>
  </w:style>
  <w:style w:type="paragraph" w:styleId="TM8">
    <w:name w:val="toc 8"/>
    <w:basedOn w:val="Normal"/>
    <w:pPr>
      <w:spacing w:after="100"/>
      <w:ind w:left="1540"/>
    </w:pPr>
  </w:style>
  <w:style w:type="paragraph" w:styleId="TM9">
    <w:name w:val="toc 9"/>
    <w:basedOn w:val="Normal"/>
    <w:pPr>
      <w:spacing w:after="100"/>
      <w:ind w:left="1760"/>
    </w:pPr>
  </w:style>
  <w:style w:type="character" w:customStyle="1" w:styleId="Heading1Char">
    <w:name w:val="Heading 1 Char"/>
    <w:basedOn w:val="Policepardfaut"/>
    <w:rPr>
      <w:rFonts w:ascii="Arial" w:eastAsia="Arial" w:hAnsi="Arial" w:cs="Arial"/>
      <w:color w:val="0F4761"/>
      <w:sz w:val="40"/>
    </w:rPr>
  </w:style>
  <w:style w:type="character" w:customStyle="1" w:styleId="Heading2Char">
    <w:name w:val="Heading 2 Char"/>
    <w:basedOn w:val="Policepardfaut"/>
    <w:rPr>
      <w:rFonts w:ascii="Arial" w:eastAsia="Arial" w:hAnsi="Arial" w:cs="Arial"/>
      <w:color w:val="0F4761"/>
      <w:sz w:val="32"/>
    </w:rPr>
  </w:style>
  <w:style w:type="character" w:customStyle="1" w:styleId="Heading3Char">
    <w:name w:val="Heading 3 Char"/>
    <w:basedOn w:val="Policepardfaut"/>
    <w:rPr>
      <w:rFonts w:ascii="Arial" w:eastAsia="Arial" w:hAnsi="Arial" w:cs="Arial"/>
      <w:color w:val="0F4761"/>
      <w:sz w:val="28"/>
    </w:rPr>
  </w:style>
  <w:style w:type="character" w:customStyle="1" w:styleId="Heading4Char">
    <w:name w:val="Heading 4 Char"/>
    <w:basedOn w:val="Policepardfaut"/>
    <w:rPr>
      <w:rFonts w:ascii="Arial" w:eastAsia="Arial" w:hAnsi="Arial" w:cs="Arial"/>
      <w:i/>
      <w:color w:val="0F4761"/>
    </w:rPr>
  </w:style>
  <w:style w:type="character" w:customStyle="1" w:styleId="Heading5Char">
    <w:name w:val="Heading 5 Char"/>
    <w:basedOn w:val="Policepardfaut"/>
    <w:rPr>
      <w:rFonts w:ascii="Arial" w:eastAsia="Arial" w:hAnsi="Arial" w:cs="Arial"/>
      <w:color w:val="0F4761"/>
    </w:rPr>
  </w:style>
  <w:style w:type="character" w:customStyle="1" w:styleId="Heading6Char">
    <w:name w:val="Heading 6 Char"/>
    <w:basedOn w:val="Policepardfaut"/>
    <w:rPr>
      <w:rFonts w:ascii="Arial" w:eastAsia="Arial" w:hAnsi="Arial" w:cs="Arial"/>
      <w:i/>
      <w:color w:val="595959"/>
    </w:rPr>
  </w:style>
  <w:style w:type="character" w:customStyle="1" w:styleId="Heading7Char">
    <w:name w:val="Heading 7 Char"/>
    <w:basedOn w:val="Policepardfaut"/>
    <w:rPr>
      <w:rFonts w:ascii="Arial" w:eastAsia="Arial" w:hAnsi="Arial" w:cs="Arial"/>
      <w:color w:val="595959"/>
    </w:rPr>
  </w:style>
  <w:style w:type="character" w:customStyle="1" w:styleId="Heading8Char">
    <w:name w:val="Heading 8 Char"/>
    <w:basedOn w:val="Policepardfaut"/>
    <w:rPr>
      <w:rFonts w:ascii="Arial" w:eastAsia="Arial" w:hAnsi="Arial" w:cs="Arial"/>
      <w:i/>
      <w:color w:val="272727"/>
    </w:rPr>
  </w:style>
  <w:style w:type="character" w:customStyle="1" w:styleId="Heading9Char">
    <w:name w:val="Heading 9 Char"/>
    <w:basedOn w:val="Policepardfaut"/>
    <w:rPr>
      <w:rFonts w:ascii="Arial" w:eastAsia="Arial" w:hAnsi="Arial" w:cs="Arial"/>
      <w:i/>
      <w:color w:val="272727"/>
    </w:rPr>
  </w:style>
  <w:style w:type="character" w:customStyle="1" w:styleId="TitleChar">
    <w:name w:val="Title Char"/>
    <w:basedOn w:val="Policepardfaut"/>
    <w:rPr>
      <w:rFonts w:ascii="Arial" w:eastAsia="Arial" w:hAnsi="Arial" w:cs="Arial"/>
      <w:spacing w:val="-10"/>
      <w:sz w:val="56"/>
    </w:rPr>
  </w:style>
  <w:style w:type="character" w:customStyle="1" w:styleId="SubtitleChar">
    <w:name w:val="Subtitle Char"/>
    <w:basedOn w:val="Policepardfaut"/>
    <w:rPr>
      <w:color w:val="595959"/>
      <w:spacing w:val="15"/>
      <w:sz w:val="28"/>
    </w:rPr>
  </w:style>
  <w:style w:type="character" w:customStyle="1" w:styleId="QuoteChar">
    <w:name w:val="Quote Char"/>
    <w:basedOn w:val="Policepardfaut"/>
    <w:rPr>
      <w:i/>
      <w:color w:val="404040"/>
    </w:rPr>
  </w:style>
  <w:style w:type="character" w:customStyle="1" w:styleId="IntenseQuoteChar">
    <w:name w:val="Intense Quote Char"/>
    <w:basedOn w:val="Policepardfaut"/>
    <w:rPr>
      <w:i/>
      <w:color w:val="0F4761"/>
    </w:rPr>
  </w:style>
  <w:style w:type="paragraph" w:styleId="Sansinterligne">
    <w:name w:val="No Spacing"/>
    <w:basedOn w:val="Normal"/>
    <w:pPr>
      <w:spacing w:after="0" w:line="240" w:lineRule="auto"/>
    </w:pPr>
  </w:style>
  <w:style w:type="character" w:styleId="Emphaseple">
    <w:name w:val="Subtle Emphasis"/>
    <w:basedOn w:val="Policepardfaut"/>
    <w:rPr>
      <w:i/>
      <w:color w:val="404040"/>
    </w:rPr>
  </w:style>
  <w:style w:type="character" w:styleId="Accentuation">
    <w:name w:val="Emphasis"/>
    <w:basedOn w:val="Policepardfaut"/>
    <w:rPr>
      <w:i/>
    </w:rPr>
  </w:style>
  <w:style w:type="character" w:styleId="lev">
    <w:name w:val="Strong"/>
    <w:basedOn w:val="Policepardfaut"/>
    <w:rPr>
      <w:b/>
    </w:rPr>
  </w:style>
  <w:style w:type="character" w:styleId="Rfrenceple">
    <w:name w:val="Subtle Reference"/>
    <w:basedOn w:val="Policepardfaut"/>
    <w:rPr>
      <w:smallCaps/>
      <w:color w:val="5A5A5A"/>
    </w:rPr>
  </w:style>
  <w:style w:type="character" w:styleId="Titredulivre">
    <w:name w:val="Book Title"/>
    <w:basedOn w:val="Policepardfaut"/>
    <w:rPr>
      <w:b/>
      <w:i/>
      <w:spacing w:val="5"/>
    </w:rPr>
  </w:style>
  <w:style w:type="character" w:customStyle="1" w:styleId="HeaderChar">
    <w:name w:val="Header Char"/>
    <w:basedOn w:val="Policepardfaut"/>
  </w:style>
  <w:style w:type="character" w:customStyle="1" w:styleId="FooterChar">
    <w:name w:val="Footer Char"/>
    <w:basedOn w:val="Policepardfaut"/>
  </w:style>
  <w:style w:type="paragraph" w:styleId="Lgende">
    <w:name w:val="caption"/>
    <w:basedOn w:val="Normal"/>
    <w:pPr>
      <w:spacing w:after="200" w:line="240" w:lineRule="auto"/>
    </w:pPr>
    <w:rPr>
      <w:i/>
      <w:color w:val="0E2841"/>
      <w:sz w:val="18"/>
    </w:rPr>
  </w:style>
  <w:style w:type="paragraph" w:styleId="Notedebasdepage">
    <w:name w:val="footnote text"/>
    <w:basedOn w:val="Normal"/>
    <w:pPr>
      <w:spacing w:after="0" w:line="240" w:lineRule="auto"/>
    </w:pPr>
    <w:rPr>
      <w:sz w:val="20"/>
    </w:rPr>
  </w:style>
  <w:style w:type="character" w:customStyle="1" w:styleId="FootnoteTextChar">
    <w:name w:val="Footnote Text Char"/>
    <w:basedOn w:val="Policepardfaut"/>
    <w:rPr>
      <w:sz w:val="20"/>
    </w:rPr>
  </w:style>
  <w:style w:type="character" w:styleId="Appelnotedebasdep">
    <w:name w:val="footnote reference"/>
    <w:basedOn w:val="Policepardfaut"/>
    <w:rPr>
      <w:position w:val="0"/>
      <w:vertAlign w:val="superscript"/>
    </w:rPr>
  </w:style>
  <w:style w:type="paragraph" w:styleId="Notedefin">
    <w:name w:val="endnote text"/>
    <w:basedOn w:val="Normal"/>
    <w:pPr>
      <w:spacing w:after="0" w:line="240" w:lineRule="auto"/>
    </w:pPr>
    <w:rPr>
      <w:sz w:val="20"/>
    </w:rPr>
  </w:style>
  <w:style w:type="character" w:customStyle="1" w:styleId="EndnoteTextChar">
    <w:name w:val="Endnote Text Char"/>
    <w:basedOn w:val="Policepardfaut"/>
    <w:rPr>
      <w:sz w:val="20"/>
    </w:rPr>
  </w:style>
  <w:style w:type="character" w:styleId="Appeldenotedefin">
    <w:name w:val="endnote reference"/>
    <w:basedOn w:val="Policepardfaut"/>
    <w:rPr>
      <w:position w:val="0"/>
      <w:vertAlign w:val="superscript"/>
    </w:rPr>
  </w:style>
  <w:style w:type="character" w:styleId="Lienhypertextesuivivisit">
    <w:name w:val="FollowedHyperlink"/>
    <w:basedOn w:val="Policepardfaut"/>
    <w:rPr>
      <w:color w:val="954F72"/>
      <w:u w:val="single"/>
    </w:rPr>
  </w:style>
  <w:style w:type="paragraph" w:styleId="En-ttedetabledesmatires">
    <w:name w:val="TOC Heading"/>
  </w:style>
  <w:style w:type="paragraph" w:styleId="Tabledesillustrations">
    <w:name w:val="table of figures"/>
    <w:basedOn w:val="Normal"/>
    <w:pPr>
      <w:spacing w:after="0"/>
    </w:pPr>
  </w:style>
  <w:style w:type="character" w:customStyle="1" w:styleId="Titre1Car">
    <w:name w:val="Titre 1 Car"/>
    <w:basedOn w:val="Policepardfaut"/>
    <w:rPr>
      <w:rFonts w:ascii="Aptos Display" w:eastAsia="Aptos Display" w:hAnsi="Aptos Display" w:cs="Aptos Display"/>
      <w:color w:val="0F4761"/>
      <w:sz w:val="40"/>
    </w:rPr>
  </w:style>
  <w:style w:type="character" w:customStyle="1" w:styleId="Titre2Car">
    <w:name w:val="Titre 2 Car"/>
    <w:basedOn w:val="Policepardfaut"/>
    <w:rPr>
      <w:rFonts w:ascii="Aptos Display" w:eastAsia="Aptos Display" w:hAnsi="Aptos Display" w:cs="Aptos Display"/>
      <w:color w:val="0F4761"/>
      <w:sz w:val="32"/>
    </w:rPr>
  </w:style>
  <w:style w:type="character" w:customStyle="1" w:styleId="Titre3Car">
    <w:name w:val="Titre 3 Car"/>
    <w:basedOn w:val="Policepardfaut"/>
    <w:rPr>
      <w:color w:val="0F4761"/>
      <w:sz w:val="28"/>
    </w:rPr>
  </w:style>
  <w:style w:type="character" w:customStyle="1" w:styleId="Titre4Car">
    <w:name w:val="Titre 4 Car"/>
    <w:basedOn w:val="Policepardfaut"/>
    <w:rPr>
      <w:i/>
      <w:color w:val="0F4761"/>
    </w:rPr>
  </w:style>
  <w:style w:type="character" w:customStyle="1" w:styleId="Titre5Car">
    <w:name w:val="Titre 5 Car"/>
    <w:basedOn w:val="Policepardfaut"/>
    <w:rPr>
      <w:color w:val="0F4761"/>
    </w:rPr>
  </w:style>
  <w:style w:type="character" w:customStyle="1" w:styleId="Titre6Car">
    <w:name w:val="Titre 6 Car"/>
    <w:basedOn w:val="Policepardfaut"/>
    <w:rPr>
      <w:i/>
      <w:color w:val="595959"/>
    </w:rPr>
  </w:style>
  <w:style w:type="character" w:customStyle="1" w:styleId="Titre7Car">
    <w:name w:val="Titre 7 Car"/>
    <w:basedOn w:val="Policepardfaut"/>
    <w:rPr>
      <w:color w:val="595959"/>
    </w:rPr>
  </w:style>
  <w:style w:type="character" w:customStyle="1" w:styleId="Titre8Car">
    <w:name w:val="Titre 8 Car"/>
    <w:basedOn w:val="Policepardfaut"/>
    <w:rPr>
      <w:i/>
      <w:color w:val="272727"/>
    </w:rPr>
  </w:style>
  <w:style w:type="character" w:customStyle="1" w:styleId="Titre9Car">
    <w:name w:val="Titre 9 Car"/>
    <w:basedOn w:val="Policepardfaut"/>
    <w:rPr>
      <w:color w:val="272727"/>
    </w:rPr>
  </w:style>
  <w:style w:type="paragraph" w:styleId="Titre">
    <w:name w:val="Title"/>
    <w:basedOn w:val="Normal"/>
    <w:pPr>
      <w:spacing w:after="80" w:line="240" w:lineRule="auto"/>
    </w:pPr>
    <w:rPr>
      <w:rFonts w:ascii="Aptos Display" w:eastAsia="Aptos Display" w:hAnsi="Aptos Display" w:cs="Aptos Display"/>
      <w:spacing w:val="-10"/>
      <w:sz w:val="56"/>
    </w:rPr>
  </w:style>
  <w:style w:type="character" w:customStyle="1" w:styleId="TitreCar">
    <w:name w:val="Titre Car"/>
    <w:basedOn w:val="Policepardfaut"/>
    <w:rPr>
      <w:rFonts w:ascii="Aptos Display" w:eastAsia="Aptos Display" w:hAnsi="Aptos Display" w:cs="Aptos Display"/>
      <w:spacing w:val="-10"/>
      <w:sz w:val="56"/>
    </w:rPr>
  </w:style>
  <w:style w:type="paragraph" w:styleId="Sous-titre">
    <w:name w:val="Subtitle"/>
    <w:basedOn w:val="Normal"/>
    <w:rPr>
      <w:color w:val="595959"/>
      <w:spacing w:val="15"/>
      <w:sz w:val="28"/>
    </w:rPr>
  </w:style>
  <w:style w:type="character" w:customStyle="1" w:styleId="Sous-titreCar">
    <w:name w:val="Sous-titre Car"/>
    <w:basedOn w:val="Policepardfaut"/>
    <w:rPr>
      <w:color w:val="595959"/>
      <w:spacing w:val="15"/>
      <w:sz w:val="28"/>
    </w:rPr>
  </w:style>
  <w:style w:type="paragraph" w:styleId="Citation">
    <w:name w:val="Quote"/>
    <w:basedOn w:val="Normal"/>
    <w:pPr>
      <w:spacing w:before="160"/>
      <w:jc w:val="center"/>
    </w:pPr>
    <w:rPr>
      <w:i/>
      <w:color w:val="404040"/>
    </w:rPr>
  </w:style>
  <w:style w:type="character" w:customStyle="1" w:styleId="CitationCar">
    <w:name w:val="Citation Car"/>
    <w:basedOn w:val="Policepardfaut"/>
    <w:rPr>
      <w:i/>
      <w:color w:val="404040"/>
    </w:rPr>
  </w:style>
  <w:style w:type="paragraph" w:styleId="Paragraphedeliste">
    <w:name w:val="List Paragraph"/>
    <w:basedOn w:val="Normal"/>
    <w:pPr>
      <w:ind w:left="720"/>
    </w:pPr>
  </w:style>
  <w:style w:type="character" w:styleId="Emphaseintense">
    <w:name w:val="Intense Emphasis"/>
    <w:basedOn w:val="Policepardfaut"/>
    <w:rPr>
      <w:i/>
      <w:color w:val="0F4761"/>
    </w:rPr>
  </w:style>
  <w:style w:type="paragraph" w:styleId="Citationintense">
    <w:name w:val="Intense Quote"/>
    <w:basedOn w:val="Normal"/>
    <w:pPr>
      <w:spacing w:before="360" w:after="360"/>
      <w:ind w:left="864" w:right="864"/>
      <w:jc w:val="center"/>
    </w:pPr>
    <w:rPr>
      <w:i/>
      <w:color w:val="0F4761"/>
    </w:rPr>
  </w:style>
  <w:style w:type="character" w:customStyle="1" w:styleId="CitationintenseCar">
    <w:name w:val="Citation intense Car"/>
    <w:basedOn w:val="Policepardfaut"/>
    <w:rPr>
      <w:i/>
      <w:color w:val="0F4761"/>
    </w:rPr>
  </w:style>
  <w:style w:type="character" w:styleId="Rfrenceintense">
    <w:name w:val="Intense Reference"/>
    <w:basedOn w:val="Policepardfaut"/>
    <w:rPr>
      <w:b/>
      <w:smallCaps/>
      <w:color w:val="0F4761"/>
      <w:spacing w:val="5"/>
    </w:rPr>
  </w:style>
  <w:style w:type="paragraph" w:styleId="En-tte">
    <w:name w:val="header"/>
    <w:basedOn w:val="Normal"/>
    <w:pPr>
      <w:tabs>
        <w:tab w:val="center" w:pos="4537"/>
        <w:tab w:val="right" w:pos="9071"/>
      </w:tabs>
      <w:spacing w:after="0" w:line="240" w:lineRule="auto"/>
    </w:pPr>
  </w:style>
  <w:style w:type="character" w:customStyle="1" w:styleId="En-tteCar">
    <w:name w:val="En-tête Car"/>
    <w:basedOn w:val="Policepardfaut"/>
  </w:style>
  <w:style w:type="paragraph" w:styleId="Pieddepage">
    <w:name w:val="footer"/>
    <w:basedOn w:val="Normal"/>
    <w:uiPriority w:val="99"/>
    <w:pPr>
      <w:tabs>
        <w:tab w:val="center" w:pos="4537"/>
        <w:tab w:val="right" w:pos="9071"/>
      </w:tabs>
      <w:spacing w:after="0" w:line="240" w:lineRule="auto"/>
    </w:pPr>
  </w:style>
  <w:style w:type="character" w:customStyle="1" w:styleId="PieddepageCar">
    <w:name w:val="Pied de page Car"/>
    <w:basedOn w:val="Policepardfaut"/>
    <w:uiPriority w:val="99"/>
  </w:style>
  <w:style w:type="character" w:styleId="Lienhypertexte">
    <w:name w:val="Hyperlink"/>
    <w:basedOn w:val="Policepardfaut"/>
    <w:rPr>
      <w:color w:val="467886"/>
      <w:u w:val="single"/>
    </w:rPr>
  </w:style>
  <w:style w:type="character" w:customStyle="1" w:styleId="Internetlink">
    <w:name w:val="Internet link"/>
    <w:rPr>
      <w:color w:val="467886"/>
      <w:u w:val="single"/>
    </w:rPr>
  </w:style>
  <w:style w:type="character" w:styleId="Marquedecommentaire">
    <w:name w:val="annotation reference"/>
    <w:basedOn w:val="Policepardfaut"/>
    <w:rPr>
      <w:sz w:val="16"/>
    </w:rPr>
  </w:style>
  <w:style w:type="paragraph" w:styleId="Commentaire">
    <w:name w:val="annotation text"/>
    <w:basedOn w:val="Normal"/>
    <w:pPr>
      <w:spacing w:line="240" w:lineRule="auto"/>
    </w:pPr>
    <w:rPr>
      <w:sz w:val="20"/>
    </w:rPr>
  </w:style>
  <w:style w:type="character" w:customStyle="1" w:styleId="CommentaireCar">
    <w:name w:val="Commentaire Car"/>
    <w:basedOn w:val="Policepardfaut"/>
    <w:rPr>
      <w:sz w:val="20"/>
    </w:rPr>
  </w:style>
  <w:style w:type="paragraph" w:styleId="Objetducommentaire">
    <w:name w:val="annotation subject"/>
    <w:basedOn w:val="Commentaire"/>
    <w:rPr>
      <w:b/>
    </w:rPr>
  </w:style>
  <w:style w:type="character" w:customStyle="1" w:styleId="ObjetducommentaireCar">
    <w:name w:val="Objet du commentaire Car"/>
    <w:basedOn w:val="CommentaireCar"/>
    <w:rPr>
      <w:b/>
      <w:sz w:val="20"/>
    </w:rPr>
  </w:style>
  <w:style w:type="paragraph" w:styleId="Textedebulles">
    <w:name w:val="Balloon Text"/>
    <w:basedOn w:val="Normal"/>
    <w:pPr>
      <w:spacing w:after="0" w:line="240" w:lineRule="auto"/>
    </w:pPr>
    <w:rPr>
      <w:rFonts w:ascii="Segoe UI" w:eastAsia="Segoe UI" w:hAnsi="Segoe UI" w:cs="Segoe UI"/>
      <w:sz w:val="18"/>
    </w:rPr>
  </w:style>
  <w:style w:type="character" w:customStyle="1" w:styleId="TextedebullesCar">
    <w:name w:val="Texte de bulles Car"/>
    <w:basedOn w:val="Policepardfaut"/>
    <w:rPr>
      <w:rFonts w:ascii="Segoe UI" w:eastAsia="Segoe UI" w:hAnsi="Segoe UI" w:cs="Segoe UI"/>
      <w:sz w:val="18"/>
    </w:rPr>
  </w:style>
  <w:style w:type="character" w:customStyle="1" w:styleId="UnresolvedMention">
    <w:name w:val="Unresolved Mention"/>
    <w:basedOn w:val="Policepardfaut"/>
    <w:rPr>
      <w:color w:val="605E5C"/>
      <w:shd w:val="clear" w:color="auto" w:fill="E1DFDD"/>
    </w:rPr>
  </w:style>
  <w:style w:type="character" w:customStyle="1" w:styleId="T1">
    <w:name w:val="T1"/>
    <w:rPr>
      <w:rFonts w:ascii="aptos" w:eastAsia="aptos" w:hAnsi="aptos" w:cs="aptos"/>
    </w:rPr>
  </w:style>
  <w:style w:type="character" w:customStyle="1" w:styleId="T2">
    <w:name w:val="T2"/>
    <w:rPr>
      <w:rFonts w:ascii="Courier New" w:eastAsia="Courier New" w:hAnsi="Courier New" w:cs="Courier New"/>
    </w:rPr>
  </w:style>
  <w:style w:type="character" w:customStyle="1" w:styleId="T3">
    <w:name w:val="T3"/>
    <w:rPr>
      <w:rFonts w:ascii="Wingdings" w:eastAsia="Wingdings" w:hAnsi="Wingdings" w:cs="Wingdings"/>
    </w:rPr>
  </w:style>
  <w:style w:type="character" w:customStyle="1" w:styleId="T4">
    <w:name w:val="T4"/>
    <w:rPr>
      <w:rFonts w:ascii="Symbol" w:eastAsia="Symbol" w:hAnsi="Symbol" w:cs="Symbol"/>
    </w:rPr>
  </w:style>
  <w:style w:type="character" w:customStyle="1" w:styleId="T5">
    <w:name w:val="T5"/>
    <w:rPr>
      <w:rFonts w:ascii="Courier New" w:eastAsia="Courier New" w:hAnsi="Courier New" w:cs="Courier New"/>
    </w:rPr>
  </w:style>
  <w:style w:type="character" w:customStyle="1" w:styleId="T6">
    <w:name w:val="T6"/>
    <w:rPr>
      <w:rFonts w:ascii="Wingdings" w:eastAsia="Wingdings" w:hAnsi="Wingdings" w:cs="Wingdings"/>
    </w:rPr>
  </w:style>
  <w:style w:type="character" w:customStyle="1" w:styleId="T7">
    <w:name w:val="T7"/>
    <w:rPr>
      <w:rFonts w:ascii="Symbol" w:eastAsia="Symbol" w:hAnsi="Symbol" w:cs="Symbol"/>
    </w:rPr>
  </w:style>
  <w:style w:type="character" w:customStyle="1" w:styleId="T8">
    <w:name w:val="T8"/>
    <w:rPr>
      <w:rFonts w:ascii="Courier New" w:eastAsia="Courier New" w:hAnsi="Courier New" w:cs="Courier New"/>
    </w:rPr>
  </w:style>
  <w:style w:type="character" w:customStyle="1" w:styleId="T9">
    <w:name w:val="T9"/>
    <w:rPr>
      <w:rFonts w:ascii="Wingdings" w:eastAsia="Wingdings" w:hAnsi="Wingdings" w:cs="Wingdings"/>
    </w:rPr>
  </w:style>
  <w:style w:type="character" w:customStyle="1" w:styleId="T10">
    <w:name w:val="T10"/>
  </w:style>
  <w:style w:type="character" w:customStyle="1" w:styleId="T11">
    <w:name w:val="T11"/>
  </w:style>
  <w:style w:type="character" w:customStyle="1" w:styleId="T12">
    <w:name w:val="T12"/>
  </w:style>
  <w:style w:type="character" w:customStyle="1" w:styleId="T13">
    <w:name w:val="T13"/>
  </w:style>
  <w:style w:type="character" w:customStyle="1" w:styleId="T14">
    <w:name w:val="T14"/>
  </w:style>
  <w:style w:type="character" w:customStyle="1" w:styleId="T15">
    <w:name w:val="T15"/>
  </w:style>
  <w:style w:type="character" w:customStyle="1" w:styleId="T16">
    <w:name w:val="T16"/>
  </w:style>
  <w:style w:type="character" w:customStyle="1" w:styleId="T17">
    <w:name w:val="T17"/>
  </w:style>
  <w:style w:type="character" w:customStyle="1" w:styleId="T18">
    <w:name w:val="T18"/>
  </w:style>
  <w:style w:type="character" w:customStyle="1" w:styleId="T19">
    <w:name w:val="T19"/>
  </w:style>
  <w:style w:type="character" w:customStyle="1" w:styleId="T20">
    <w:name w:val="T20"/>
  </w:style>
  <w:style w:type="character" w:customStyle="1" w:styleId="T21">
    <w:name w:val="T21"/>
  </w:style>
  <w:style w:type="character" w:customStyle="1" w:styleId="T22">
    <w:name w:val="T22"/>
  </w:style>
  <w:style w:type="character" w:customStyle="1" w:styleId="T23">
    <w:name w:val="T23"/>
  </w:style>
  <w:style w:type="character" w:customStyle="1" w:styleId="T24">
    <w:name w:val="T24"/>
  </w:style>
  <w:style w:type="character" w:customStyle="1" w:styleId="T25">
    <w:name w:val="T25"/>
  </w:style>
  <w:style w:type="character" w:customStyle="1" w:styleId="T26">
    <w:name w:val="T26"/>
  </w:style>
  <w:style w:type="character" w:customStyle="1" w:styleId="T27">
    <w:name w:val="T27"/>
  </w:style>
  <w:style w:type="character" w:customStyle="1" w:styleId="T28">
    <w:name w:val="T28"/>
  </w:style>
  <w:style w:type="character" w:customStyle="1" w:styleId="T29">
    <w:name w:val="T29"/>
  </w:style>
  <w:style w:type="character" w:customStyle="1" w:styleId="T30">
    <w:name w:val="T30"/>
  </w:style>
  <w:style w:type="character" w:customStyle="1" w:styleId="T31">
    <w:name w:val="T31"/>
  </w:style>
  <w:style w:type="character" w:customStyle="1" w:styleId="T32">
    <w:name w:val="T32"/>
  </w:style>
  <w:style w:type="character" w:customStyle="1" w:styleId="T33">
    <w:name w:val="T33"/>
  </w:style>
  <w:style w:type="character" w:customStyle="1" w:styleId="T34">
    <w:name w:val="T34"/>
  </w:style>
  <w:style w:type="character" w:customStyle="1" w:styleId="T35">
    <w:name w:val="T35"/>
  </w:style>
  <w:style w:type="character" w:customStyle="1" w:styleId="T36">
    <w:name w:val="T36"/>
  </w:style>
  <w:style w:type="character" w:customStyle="1" w:styleId="T37">
    <w:name w:val="T37"/>
  </w:style>
  <w:style w:type="character" w:customStyle="1" w:styleId="T38">
    <w:name w:val="T38"/>
  </w:style>
  <w:style w:type="character" w:customStyle="1" w:styleId="T39">
    <w:name w:val="T39"/>
  </w:style>
  <w:style w:type="character" w:customStyle="1" w:styleId="T40">
    <w:name w:val="T40"/>
  </w:style>
  <w:style w:type="character" w:customStyle="1" w:styleId="T41">
    <w:name w:val="T41"/>
  </w:style>
  <w:style w:type="character" w:customStyle="1" w:styleId="T42">
    <w:name w:val="T42"/>
  </w:style>
  <w:style w:type="character" w:customStyle="1" w:styleId="T43">
    <w:name w:val="T43"/>
  </w:style>
  <w:style w:type="character" w:customStyle="1" w:styleId="T44">
    <w:name w:val="T44"/>
  </w:style>
  <w:style w:type="character" w:customStyle="1" w:styleId="T45">
    <w:name w:val="T45"/>
  </w:style>
  <w:style w:type="character" w:customStyle="1" w:styleId="T46">
    <w:name w:val="T46"/>
  </w:style>
  <w:style w:type="character" w:customStyle="1" w:styleId="T47">
    <w:name w:val="T47"/>
  </w:style>
  <w:style w:type="character" w:customStyle="1" w:styleId="T48">
    <w:name w:val="T48"/>
  </w:style>
  <w:style w:type="character" w:customStyle="1" w:styleId="T49">
    <w:name w:val="T49"/>
  </w:style>
  <w:style w:type="character" w:customStyle="1" w:styleId="T50">
    <w:name w:val="T50"/>
  </w:style>
  <w:style w:type="character" w:customStyle="1" w:styleId="T51">
    <w:name w:val="T51"/>
  </w:style>
  <w:style w:type="character" w:customStyle="1" w:styleId="T52">
    <w:name w:val="T52"/>
  </w:style>
  <w:style w:type="character" w:customStyle="1" w:styleId="T53">
    <w:name w:val="T53"/>
  </w:style>
  <w:style w:type="character" w:customStyle="1" w:styleId="T54">
    <w:name w:val="T54"/>
  </w:style>
  <w:style w:type="character" w:customStyle="1" w:styleId="T55">
    <w:name w:val="T55"/>
  </w:style>
  <w:style w:type="character" w:customStyle="1" w:styleId="T56">
    <w:name w:val="T56"/>
  </w:style>
  <w:style w:type="character" w:customStyle="1" w:styleId="T57">
    <w:name w:val="T57"/>
  </w:style>
  <w:style w:type="character" w:customStyle="1" w:styleId="T58">
    <w:name w:val="T58"/>
  </w:style>
  <w:style w:type="character" w:customStyle="1" w:styleId="T59">
    <w:name w:val="T59"/>
  </w:style>
  <w:style w:type="character" w:customStyle="1" w:styleId="T60">
    <w:name w:val="T60"/>
  </w:style>
  <w:style w:type="character" w:customStyle="1" w:styleId="T61">
    <w:name w:val="T61"/>
  </w:style>
  <w:style w:type="character" w:customStyle="1" w:styleId="T62">
    <w:name w:val="T62"/>
  </w:style>
  <w:style w:type="character" w:customStyle="1" w:styleId="T63">
    <w:name w:val="T63"/>
  </w:style>
  <w:style w:type="character" w:customStyle="1" w:styleId="T64">
    <w:name w:val="T64"/>
  </w:style>
  <w:style w:type="character" w:customStyle="1" w:styleId="T65">
    <w:name w:val="T65"/>
  </w:style>
  <w:style w:type="character" w:customStyle="1" w:styleId="T66">
    <w:name w:val="T66"/>
  </w:style>
  <w:style w:type="character" w:customStyle="1" w:styleId="T67">
    <w:name w:val="T67"/>
  </w:style>
  <w:style w:type="character" w:customStyle="1" w:styleId="T68">
    <w:name w:val="T68"/>
  </w:style>
  <w:style w:type="character" w:customStyle="1" w:styleId="T69">
    <w:name w:val="T69"/>
  </w:style>
  <w:style w:type="character" w:customStyle="1" w:styleId="T70">
    <w:name w:val="T70"/>
  </w:style>
  <w:style w:type="character" w:customStyle="1" w:styleId="T71">
    <w:name w:val="T71"/>
  </w:style>
  <w:style w:type="character" w:customStyle="1" w:styleId="T72">
    <w:name w:val="T72"/>
  </w:style>
  <w:style w:type="character" w:customStyle="1" w:styleId="T73">
    <w:name w:val="T73"/>
  </w:style>
  <w:style w:type="character" w:customStyle="1" w:styleId="T74">
    <w:name w:val="T74"/>
  </w:style>
  <w:style w:type="character" w:customStyle="1" w:styleId="T75">
    <w:name w:val="T75"/>
  </w:style>
  <w:style w:type="character" w:customStyle="1" w:styleId="T76">
    <w:name w:val="T76"/>
  </w:style>
  <w:style w:type="character" w:customStyle="1" w:styleId="T77">
    <w:name w:val="T77"/>
  </w:style>
  <w:style w:type="character" w:customStyle="1" w:styleId="T78">
    <w:name w:val="T78"/>
  </w:style>
  <w:style w:type="character" w:customStyle="1" w:styleId="T79">
    <w:name w:val="T79"/>
  </w:style>
  <w:style w:type="character" w:customStyle="1" w:styleId="T80">
    <w:name w:val="T80"/>
  </w:style>
  <w:style w:type="character" w:customStyle="1" w:styleId="T81">
    <w:name w:val="T81"/>
  </w:style>
  <w:style w:type="character" w:customStyle="1" w:styleId="T82">
    <w:name w:val="T82"/>
  </w:style>
  <w:style w:type="character" w:customStyle="1" w:styleId="T83">
    <w:name w:val="T83"/>
  </w:style>
  <w:style w:type="character" w:customStyle="1" w:styleId="T84">
    <w:name w:val="T84"/>
  </w:style>
  <w:style w:type="character" w:customStyle="1" w:styleId="T85">
    <w:name w:val="T85"/>
  </w:style>
  <w:style w:type="character" w:customStyle="1" w:styleId="T86">
    <w:name w:val="T86"/>
  </w:style>
  <w:style w:type="character" w:customStyle="1" w:styleId="T87">
    <w:name w:val="T87"/>
  </w:style>
  <w:style w:type="character" w:customStyle="1" w:styleId="T88">
    <w:name w:val="T88"/>
  </w:style>
  <w:style w:type="character" w:customStyle="1" w:styleId="T89">
    <w:name w:val="T89"/>
  </w:style>
  <w:style w:type="character" w:customStyle="1" w:styleId="T90">
    <w:name w:val="T90"/>
  </w:style>
  <w:style w:type="character" w:customStyle="1" w:styleId="T91">
    <w:name w:val="T91"/>
  </w:style>
  <w:style w:type="character" w:customStyle="1" w:styleId="T92">
    <w:name w:val="T92"/>
  </w:style>
  <w:style w:type="character" w:customStyle="1" w:styleId="T93">
    <w:name w:val="T93"/>
  </w:style>
  <w:style w:type="character" w:customStyle="1" w:styleId="T94">
    <w:name w:val="T94"/>
  </w:style>
  <w:style w:type="character" w:customStyle="1" w:styleId="T95">
    <w:name w:val="T95"/>
  </w:style>
  <w:style w:type="character" w:customStyle="1" w:styleId="T96">
    <w:name w:val="T96"/>
  </w:style>
  <w:style w:type="character" w:customStyle="1" w:styleId="T97">
    <w:name w:val="T97"/>
  </w:style>
  <w:style w:type="character" w:customStyle="1" w:styleId="T98">
    <w:name w:val="T98"/>
  </w:style>
  <w:style w:type="character" w:customStyle="1" w:styleId="T99">
    <w:name w:val="T99"/>
  </w:style>
  <w:style w:type="character" w:customStyle="1" w:styleId="T100">
    <w:name w:val="T100"/>
  </w:style>
  <w:style w:type="character" w:customStyle="1" w:styleId="T101">
    <w:name w:val="T101"/>
  </w:style>
  <w:style w:type="character" w:customStyle="1" w:styleId="T102">
    <w:name w:val="T102"/>
  </w:style>
  <w:style w:type="character" w:customStyle="1" w:styleId="T103">
    <w:name w:val="T103"/>
  </w:style>
  <w:style w:type="character" w:customStyle="1" w:styleId="T104">
    <w:name w:val="T104"/>
  </w:style>
  <w:style w:type="character" w:customStyle="1" w:styleId="T105">
    <w:name w:val="T105"/>
  </w:style>
  <w:style w:type="character" w:customStyle="1" w:styleId="T106">
    <w:name w:val="T106"/>
  </w:style>
  <w:style w:type="character" w:customStyle="1" w:styleId="T107">
    <w:name w:val="T107"/>
  </w:style>
  <w:style w:type="character" w:customStyle="1" w:styleId="T108">
    <w:name w:val="T108"/>
  </w:style>
  <w:style w:type="character" w:customStyle="1" w:styleId="T109">
    <w:name w:val="T109"/>
  </w:style>
  <w:style w:type="character" w:customStyle="1" w:styleId="T110">
    <w:name w:val="T110"/>
  </w:style>
  <w:style w:type="character" w:customStyle="1" w:styleId="T111">
    <w:name w:val="T111"/>
  </w:style>
  <w:style w:type="character" w:customStyle="1" w:styleId="T112">
    <w:name w:val="T112"/>
  </w:style>
  <w:style w:type="character" w:customStyle="1" w:styleId="T113">
    <w:name w:val="T113"/>
  </w:style>
  <w:style w:type="character" w:customStyle="1" w:styleId="T114">
    <w:name w:val="T114"/>
  </w:style>
  <w:style w:type="character" w:customStyle="1" w:styleId="T115">
    <w:name w:val="T115"/>
  </w:style>
  <w:style w:type="character" w:customStyle="1" w:styleId="T116">
    <w:name w:val="T116"/>
  </w:style>
  <w:style w:type="character" w:customStyle="1" w:styleId="T117">
    <w:name w:val="T117"/>
  </w:style>
  <w:style w:type="character" w:customStyle="1" w:styleId="T118">
    <w:name w:val="T118"/>
  </w:style>
  <w:style w:type="character" w:customStyle="1" w:styleId="T119">
    <w:name w:val="T119"/>
  </w:style>
  <w:style w:type="character" w:customStyle="1" w:styleId="T120">
    <w:name w:val="T120"/>
  </w:style>
  <w:style w:type="character" w:customStyle="1" w:styleId="T121">
    <w:name w:val="T121"/>
  </w:style>
  <w:style w:type="character" w:customStyle="1" w:styleId="T122">
    <w:name w:val="T122"/>
  </w:style>
  <w:style w:type="character" w:customStyle="1" w:styleId="T123">
    <w:name w:val="T123"/>
  </w:style>
  <w:style w:type="character" w:customStyle="1" w:styleId="T124">
    <w:name w:val="T124"/>
  </w:style>
  <w:style w:type="character" w:customStyle="1" w:styleId="T125">
    <w:name w:val="T125"/>
  </w:style>
  <w:style w:type="character" w:customStyle="1" w:styleId="T126">
    <w:name w:val="T126"/>
  </w:style>
  <w:style w:type="character" w:customStyle="1" w:styleId="T127">
    <w:name w:val="T127"/>
  </w:style>
  <w:style w:type="character" w:customStyle="1" w:styleId="T128">
    <w:name w:val="T128"/>
  </w:style>
  <w:style w:type="character" w:customStyle="1" w:styleId="T129">
    <w:name w:val="T129"/>
  </w:style>
  <w:style w:type="character" w:customStyle="1" w:styleId="T130">
    <w:name w:val="T130"/>
  </w:style>
  <w:style w:type="character" w:customStyle="1" w:styleId="T131">
    <w:name w:val="T131"/>
  </w:style>
  <w:style w:type="character" w:customStyle="1" w:styleId="T132">
    <w:name w:val="T132"/>
  </w:style>
  <w:style w:type="character" w:customStyle="1" w:styleId="T133">
    <w:name w:val="T133"/>
  </w:style>
  <w:style w:type="character" w:customStyle="1" w:styleId="T134">
    <w:name w:val="T134"/>
  </w:style>
  <w:style w:type="character" w:customStyle="1" w:styleId="T135">
    <w:name w:val="T135"/>
  </w:style>
  <w:style w:type="character" w:customStyle="1" w:styleId="T136">
    <w:name w:val="T136"/>
  </w:style>
  <w:style w:type="character" w:customStyle="1" w:styleId="T137">
    <w:name w:val="T137"/>
  </w:style>
  <w:style w:type="character" w:customStyle="1" w:styleId="T138">
    <w:name w:val="T138"/>
  </w:style>
  <w:style w:type="character" w:customStyle="1" w:styleId="T139">
    <w:name w:val="T139"/>
  </w:style>
  <w:style w:type="character" w:customStyle="1" w:styleId="T140">
    <w:name w:val="T140"/>
  </w:style>
  <w:style w:type="character" w:customStyle="1" w:styleId="T141">
    <w:name w:val="T141"/>
  </w:style>
  <w:style w:type="character" w:customStyle="1" w:styleId="T142">
    <w:name w:val="T142"/>
  </w:style>
  <w:style w:type="character" w:customStyle="1" w:styleId="T143">
    <w:name w:val="T143"/>
  </w:style>
  <w:style w:type="character" w:customStyle="1" w:styleId="T144">
    <w:name w:val="T144"/>
  </w:style>
  <w:style w:type="character" w:customStyle="1" w:styleId="T145">
    <w:name w:val="T145"/>
  </w:style>
  <w:style w:type="character" w:customStyle="1" w:styleId="T146">
    <w:name w:val="T146"/>
  </w:style>
  <w:style w:type="character" w:customStyle="1" w:styleId="T147">
    <w:name w:val="T147"/>
  </w:style>
  <w:style w:type="character" w:customStyle="1" w:styleId="T148">
    <w:name w:val="T148"/>
  </w:style>
  <w:style w:type="character" w:customStyle="1" w:styleId="T149">
    <w:name w:val="T149"/>
  </w:style>
  <w:style w:type="character" w:customStyle="1" w:styleId="T150">
    <w:name w:val="T150"/>
  </w:style>
  <w:style w:type="character" w:customStyle="1" w:styleId="T151">
    <w:name w:val="T151"/>
  </w:style>
  <w:style w:type="character" w:customStyle="1" w:styleId="T152">
    <w:name w:val="T152"/>
  </w:style>
  <w:style w:type="character" w:customStyle="1" w:styleId="T153">
    <w:name w:val="T153"/>
  </w:style>
  <w:style w:type="character" w:customStyle="1" w:styleId="T154">
    <w:name w:val="T154"/>
  </w:style>
  <w:style w:type="character" w:customStyle="1" w:styleId="T155">
    <w:name w:val="T155"/>
  </w:style>
  <w:style w:type="character" w:customStyle="1" w:styleId="T156">
    <w:name w:val="T156"/>
  </w:style>
  <w:style w:type="character" w:customStyle="1" w:styleId="T157">
    <w:name w:val="T157"/>
  </w:style>
  <w:style w:type="character" w:customStyle="1" w:styleId="T158">
    <w:name w:val="T158"/>
  </w:style>
  <w:style w:type="character" w:customStyle="1" w:styleId="T159">
    <w:name w:val="T159"/>
  </w:style>
  <w:style w:type="character" w:customStyle="1" w:styleId="T160">
    <w:name w:val="T160"/>
  </w:style>
  <w:style w:type="character" w:customStyle="1" w:styleId="T161">
    <w:name w:val="T161"/>
  </w:style>
  <w:style w:type="character" w:customStyle="1" w:styleId="T162">
    <w:name w:val="T162"/>
  </w:style>
  <w:style w:type="character" w:customStyle="1" w:styleId="T163">
    <w:name w:val="T163"/>
  </w:style>
  <w:style w:type="character" w:customStyle="1" w:styleId="T164">
    <w:name w:val="T164"/>
  </w:style>
  <w:style w:type="character" w:customStyle="1" w:styleId="T165">
    <w:name w:val="T165"/>
  </w:style>
  <w:style w:type="character" w:customStyle="1" w:styleId="T166">
    <w:name w:val="T166"/>
  </w:style>
  <w:style w:type="character" w:customStyle="1" w:styleId="T167">
    <w:name w:val="T167"/>
  </w:style>
  <w:style w:type="character" w:customStyle="1" w:styleId="T168">
    <w:name w:val="T168"/>
  </w:style>
  <w:style w:type="character" w:customStyle="1" w:styleId="T169">
    <w:name w:val="T169"/>
  </w:style>
  <w:style w:type="character" w:customStyle="1" w:styleId="T170">
    <w:name w:val="T170"/>
  </w:style>
  <w:style w:type="character" w:customStyle="1" w:styleId="T171">
    <w:name w:val="T171"/>
  </w:style>
  <w:style w:type="character" w:customStyle="1" w:styleId="T172">
    <w:name w:val="T172"/>
  </w:style>
  <w:style w:type="character" w:customStyle="1" w:styleId="T173">
    <w:name w:val="T173"/>
  </w:style>
  <w:style w:type="character" w:customStyle="1" w:styleId="T174">
    <w:name w:val="T174"/>
  </w:style>
  <w:style w:type="character" w:customStyle="1" w:styleId="T175">
    <w:name w:val="T175"/>
  </w:style>
  <w:style w:type="character" w:customStyle="1" w:styleId="T176">
    <w:name w:val="T176"/>
  </w:style>
  <w:style w:type="character" w:customStyle="1" w:styleId="T177">
    <w:name w:val="T177"/>
  </w:style>
  <w:style w:type="character" w:customStyle="1" w:styleId="T178">
    <w:name w:val="T178"/>
  </w:style>
  <w:style w:type="character" w:customStyle="1" w:styleId="T179">
    <w:name w:val="T179"/>
  </w:style>
  <w:style w:type="character" w:customStyle="1" w:styleId="T180">
    <w:name w:val="T180"/>
  </w:style>
  <w:style w:type="character" w:customStyle="1" w:styleId="T181">
    <w:name w:val="T181"/>
  </w:style>
  <w:style w:type="character" w:customStyle="1" w:styleId="T182">
    <w:name w:val="T182"/>
  </w:style>
  <w:style w:type="character" w:customStyle="1" w:styleId="T183">
    <w:name w:val="T183"/>
  </w:style>
  <w:style w:type="character" w:customStyle="1" w:styleId="T184">
    <w:name w:val="T184"/>
  </w:style>
  <w:style w:type="character" w:customStyle="1" w:styleId="T185">
    <w:name w:val="T185"/>
  </w:style>
  <w:style w:type="character" w:customStyle="1" w:styleId="T186">
    <w:name w:val="T186"/>
  </w:style>
  <w:style w:type="character" w:customStyle="1" w:styleId="T187">
    <w:name w:val="T187"/>
  </w:style>
  <w:style w:type="character" w:customStyle="1" w:styleId="T188">
    <w:name w:val="T188"/>
  </w:style>
  <w:style w:type="character" w:customStyle="1" w:styleId="T189">
    <w:name w:val="T189"/>
  </w:style>
  <w:style w:type="character" w:customStyle="1" w:styleId="T190">
    <w:name w:val="T190"/>
  </w:style>
  <w:style w:type="character" w:customStyle="1" w:styleId="T191">
    <w:name w:val="T191"/>
  </w:style>
  <w:style w:type="character" w:customStyle="1" w:styleId="T192">
    <w:name w:val="T192"/>
  </w:style>
  <w:style w:type="character" w:customStyle="1" w:styleId="T193">
    <w:name w:val="T193"/>
  </w:style>
  <w:style w:type="character" w:customStyle="1" w:styleId="T194">
    <w:name w:val="T194"/>
  </w:style>
  <w:style w:type="character" w:customStyle="1" w:styleId="T195">
    <w:name w:val="T195"/>
  </w:style>
  <w:style w:type="character" w:customStyle="1" w:styleId="T196">
    <w:name w:val="T196"/>
  </w:style>
  <w:style w:type="character" w:customStyle="1" w:styleId="T197">
    <w:name w:val="T197"/>
  </w:style>
  <w:style w:type="character" w:customStyle="1" w:styleId="T198">
    <w:name w:val="T198"/>
  </w:style>
  <w:style w:type="character" w:customStyle="1" w:styleId="T199">
    <w:name w:val="T199"/>
  </w:style>
  <w:style w:type="character" w:customStyle="1" w:styleId="T200">
    <w:name w:val="T200"/>
  </w:style>
  <w:style w:type="character" w:customStyle="1" w:styleId="T201">
    <w:name w:val="T201"/>
  </w:style>
  <w:style w:type="character" w:customStyle="1" w:styleId="T202">
    <w:name w:val="T202"/>
  </w:style>
  <w:style w:type="character" w:customStyle="1" w:styleId="T203">
    <w:name w:val="T203"/>
  </w:style>
  <w:style w:type="character" w:customStyle="1" w:styleId="T204">
    <w:name w:val="T204"/>
  </w:style>
  <w:style w:type="character" w:customStyle="1" w:styleId="T205">
    <w:name w:val="T205"/>
  </w:style>
  <w:style w:type="character" w:customStyle="1" w:styleId="T206">
    <w:name w:val="T206"/>
  </w:style>
  <w:style w:type="character" w:customStyle="1" w:styleId="T207">
    <w:name w:val="T207"/>
  </w:style>
  <w:style w:type="character" w:customStyle="1" w:styleId="T208">
    <w:name w:val="T208"/>
  </w:style>
  <w:style w:type="character" w:customStyle="1" w:styleId="T209">
    <w:name w:val="T209"/>
  </w:style>
  <w:style w:type="character" w:customStyle="1" w:styleId="T210">
    <w:name w:val="T210"/>
  </w:style>
  <w:style w:type="character" w:customStyle="1" w:styleId="T211">
    <w:name w:val="T211"/>
  </w:style>
  <w:style w:type="character" w:customStyle="1" w:styleId="T212">
    <w:name w:val="T212"/>
  </w:style>
  <w:style w:type="character" w:customStyle="1" w:styleId="T213">
    <w:name w:val="T213"/>
  </w:style>
  <w:style w:type="character" w:customStyle="1" w:styleId="T214">
    <w:name w:val="T214"/>
  </w:style>
  <w:style w:type="character" w:customStyle="1" w:styleId="T215">
    <w:name w:val="T215"/>
  </w:style>
  <w:style w:type="character" w:customStyle="1" w:styleId="T216">
    <w:name w:val="T216"/>
  </w:style>
  <w:style w:type="character" w:customStyle="1" w:styleId="T217">
    <w:name w:val="T217"/>
  </w:style>
  <w:style w:type="character" w:customStyle="1" w:styleId="T218">
    <w:name w:val="T218"/>
  </w:style>
  <w:style w:type="character" w:customStyle="1" w:styleId="T219">
    <w:name w:val="T219"/>
  </w:style>
  <w:style w:type="character" w:customStyle="1" w:styleId="T220">
    <w:name w:val="T220"/>
  </w:style>
  <w:style w:type="character" w:customStyle="1" w:styleId="T221">
    <w:name w:val="T221"/>
  </w:style>
  <w:style w:type="character" w:customStyle="1" w:styleId="T222">
    <w:name w:val="T222"/>
  </w:style>
  <w:style w:type="character" w:customStyle="1" w:styleId="T223">
    <w:name w:val="T223"/>
  </w:style>
  <w:style w:type="character" w:customStyle="1" w:styleId="T224">
    <w:name w:val="T224"/>
  </w:style>
  <w:style w:type="character" w:customStyle="1" w:styleId="T225">
    <w:name w:val="T225"/>
  </w:style>
  <w:style w:type="character" w:customStyle="1" w:styleId="T226">
    <w:name w:val="T226"/>
  </w:style>
  <w:style w:type="character" w:customStyle="1" w:styleId="T227">
    <w:name w:val="T227"/>
  </w:style>
  <w:style w:type="character" w:customStyle="1" w:styleId="T228">
    <w:name w:val="T228"/>
  </w:style>
  <w:style w:type="character" w:customStyle="1" w:styleId="T229">
    <w:name w:val="T229"/>
  </w:style>
  <w:style w:type="character" w:customStyle="1" w:styleId="T230">
    <w:name w:val="T230"/>
  </w:style>
  <w:style w:type="character" w:customStyle="1" w:styleId="T231">
    <w:name w:val="T231"/>
  </w:style>
  <w:style w:type="character" w:customStyle="1" w:styleId="T232">
    <w:name w:val="T232"/>
  </w:style>
  <w:style w:type="character" w:customStyle="1" w:styleId="T233">
    <w:name w:val="T233"/>
  </w:style>
  <w:style w:type="character" w:customStyle="1" w:styleId="T234">
    <w:name w:val="T234"/>
  </w:style>
  <w:style w:type="character" w:customStyle="1" w:styleId="T235">
    <w:name w:val="T235"/>
  </w:style>
  <w:style w:type="character" w:customStyle="1" w:styleId="T236">
    <w:name w:val="T236"/>
  </w:style>
  <w:style w:type="character" w:customStyle="1" w:styleId="T237">
    <w:name w:val="T237"/>
  </w:style>
  <w:style w:type="character" w:customStyle="1" w:styleId="T238">
    <w:name w:val="T238"/>
  </w:style>
  <w:style w:type="character" w:customStyle="1" w:styleId="T239">
    <w:name w:val="T239"/>
  </w:style>
  <w:style w:type="character" w:customStyle="1" w:styleId="T240">
    <w:name w:val="T240"/>
  </w:style>
  <w:style w:type="character" w:customStyle="1" w:styleId="T241">
    <w:name w:val="T241"/>
  </w:style>
  <w:style w:type="character" w:customStyle="1" w:styleId="T242">
    <w:name w:val="T242"/>
  </w:style>
  <w:style w:type="character" w:customStyle="1" w:styleId="T243">
    <w:name w:val="T243"/>
  </w:style>
  <w:style w:type="character" w:customStyle="1" w:styleId="T244">
    <w:name w:val="T244"/>
  </w:style>
  <w:style w:type="character" w:customStyle="1" w:styleId="T245">
    <w:name w:val="T245"/>
  </w:style>
  <w:style w:type="character" w:customStyle="1" w:styleId="T246">
    <w:name w:val="T246"/>
  </w:style>
  <w:style w:type="character" w:customStyle="1" w:styleId="T247">
    <w:name w:val="T247"/>
  </w:style>
  <w:style w:type="character" w:customStyle="1" w:styleId="T248">
    <w:name w:val="T248"/>
  </w:style>
  <w:style w:type="character" w:customStyle="1" w:styleId="T249">
    <w:name w:val="T249"/>
  </w:style>
  <w:style w:type="character" w:customStyle="1" w:styleId="T250">
    <w:name w:val="T250"/>
  </w:style>
  <w:style w:type="character" w:customStyle="1" w:styleId="T251">
    <w:name w:val="T251"/>
  </w:style>
  <w:style w:type="character" w:customStyle="1" w:styleId="T252">
    <w:name w:val="T252"/>
  </w:style>
  <w:style w:type="character" w:customStyle="1" w:styleId="T253">
    <w:name w:val="T253"/>
  </w:style>
  <w:style w:type="character" w:customStyle="1" w:styleId="T254">
    <w:name w:val="T254"/>
  </w:style>
  <w:style w:type="character" w:customStyle="1" w:styleId="T255">
    <w:name w:val="T255"/>
  </w:style>
  <w:style w:type="character" w:customStyle="1" w:styleId="T256">
    <w:name w:val="T256"/>
  </w:style>
  <w:style w:type="character" w:customStyle="1" w:styleId="T257">
    <w:name w:val="T257"/>
  </w:style>
  <w:style w:type="character" w:customStyle="1" w:styleId="T258">
    <w:name w:val="T258"/>
  </w:style>
  <w:style w:type="character" w:customStyle="1" w:styleId="T259">
    <w:name w:val="T259"/>
  </w:style>
  <w:style w:type="character" w:customStyle="1" w:styleId="T260">
    <w:name w:val="T260"/>
  </w:style>
  <w:style w:type="character" w:customStyle="1" w:styleId="T261">
    <w:name w:val="T261"/>
  </w:style>
  <w:style w:type="character" w:customStyle="1" w:styleId="T262">
    <w:name w:val="T262"/>
    <w:rPr>
      <w:rFonts w:ascii="Wingdings" w:eastAsia="Wingdings" w:hAnsi="Wingdings" w:cs="Wingdings"/>
    </w:rPr>
  </w:style>
  <w:style w:type="character" w:customStyle="1" w:styleId="T263">
    <w:name w:val="T263"/>
    <w:rPr>
      <w:rFonts w:ascii="Courier New" w:eastAsia="Courier New" w:hAnsi="Courier New" w:cs="Courier New"/>
    </w:rPr>
  </w:style>
  <w:style w:type="character" w:customStyle="1" w:styleId="T264">
    <w:name w:val="T264"/>
    <w:rPr>
      <w:rFonts w:ascii="Wingdings" w:eastAsia="Wingdings" w:hAnsi="Wingdings" w:cs="Wingdings"/>
    </w:rPr>
  </w:style>
  <w:style w:type="character" w:customStyle="1" w:styleId="T265">
    <w:name w:val="T265"/>
    <w:rPr>
      <w:rFonts w:ascii="Symbol" w:eastAsia="Symbol" w:hAnsi="Symbol" w:cs="Symbol"/>
    </w:rPr>
  </w:style>
  <w:style w:type="character" w:customStyle="1" w:styleId="T266">
    <w:name w:val="T266"/>
    <w:rPr>
      <w:rFonts w:ascii="Courier New" w:eastAsia="Courier New" w:hAnsi="Courier New" w:cs="Courier New"/>
    </w:rPr>
  </w:style>
  <w:style w:type="character" w:customStyle="1" w:styleId="T267">
    <w:name w:val="T267"/>
    <w:rPr>
      <w:rFonts w:ascii="Wingdings" w:eastAsia="Wingdings" w:hAnsi="Wingdings" w:cs="Wingdings"/>
    </w:rPr>
  </w:style>
  <w:style w:type="character" w:customStyle="1" w:styleId="T268">
    <w:name w:val="T268"/>
    <w:rPr>
      <w:rFonts w:ascii="Symbol" w:eastAsia="Symbol" w:hAnsi="Symbol" w:cs="Symbol"/>
    </w:rPr>
  </w:style>
  <w:style w:type="character" w:customStyle="1" w:styleId="T269">
    <w:name w:val="T269"/>
    <w:rPr>
      <w:rFonts w:ascii="Courier New" w:eastAsia="Courier New" w:hAnsi="Courier New" w:cs="Courier New"/>
    </w:rPr>
  </w:style>
  <w:style w:type="character" w:customStyle="1" w:styleId="T270">
    <w:name w:val="T270"/>
    <w:rPr>
      <w:rFonts w:ascii="Wingdings" w:eastAsia="Wingdings" w:hAnsi="Wingdings" w:cs="Wingdings"/>
    </w:rPr>
  </w:style>
  <w:style w:type="character" w:customStyle="1" w:styleId="T271">
    <w:name w:val="T271"/>
  </w:style>
  <w:style w:type="character" w:customStyle="1" w:styleId="T272">
    <w:name w:val="T272"/>
  </w:style>
  <w:style w:type="character" w:customStyle="1" w:styleId="T273">
    <w:name w:val="T273"/>
  </w:style>
  <w:style w:type="character" w:customStyle="1" w:styleId="T274">
    <w:name w:val="T274"/>
  </w:style>
  <w:style w:type="character" w:customStyle="1" w:styleId="T275">
    <w:name w:val="T275"/>
  </w:style>
  <w:style w:type="character" w:customStyle="1" w:styleId="T276">
    <w:name w:val="T276"/>
  </w:style>
  <w:style w:type="character" w:customStyle="1" w:styleId="T277">
    <w:name w:val="T277"/>
  </w:style>
  <w:style w:type="character" w:customStyle="1" w:styleId="T278">
    <w:name w:val="T278"/>
  </w:style>
  <w:style w:type="character" w:customStyle="1" w:styleId="T279">
    <w:name w:val="T279"/>
  </w:style>
  <w:style w:type="character" w:customStyle="1" w:styleId="T280">
    <w:name w:val="T280"/>
    <w:rPr>
      <w:rFonts w:ascii="Symbol" w:eastAsia="Symbol" w:hAnsi="Symbol" w:cs="Symbol"/>
    </w:rPr>
  </w:style>
  <w:style w:type="character" w:customStyle="1" w:styleId="T281">
    <w:name w:val="T281"/>
    <w:rPr>
      <w:rFonts w:ascii="Courier New" w:eastAsia="Courier New" w:hAnsi="Courier New" w:cs="Courier New"/>
    </w:rPr>
  </w:style>
  <w:style w:type="character" w:customStyle="1" w:styleId="T282">
    <w:name w:val="T282"/>
    <w:rPr>
      <w:rFonts w:ascii="Wingdings" w:eastAsia="Wingdings" w:hAnsi="Wingdings" w:cs="Wingdings"/>
    </w:rPr>
  </w:style>
  <w:style w:type="character" w:customStyle="1" w:styleId="T283">
    <w:name w:val="T283"/>
    <w:rPr>
      <w:rFonts w:ascii="Symbol" w:eastAsia="Symbol" w:hAnsi="Symbol" w:cs="Symbol"/>
    </w:rPr>
  </w:style>
  <w:style w:type="character" w:customStyle="1" w:styleId="T284">
    <w:name w:val="T284"/>
    <w:rPr>
      <w:rFonts w:ascii="Courier New" w:eastAsia="Courier New" w:hAnsi="Courier New" w:cs="Courier New"/>
    </w:rPr>
  </w:style>
  <w:style w:type="character" w:customStyle="1" w:styleId="T285">
    <w:name w:val="T285"/>
    <w:rPr>
      <w:rFonts w:ascii="Wingdings" w:eastAsia="Wingdings" w:hAnsi="Wingdings" w:cs="Wingdings"/>
    </w:rPr>
  </w:style>
  <w:style w:type="character" w:customStyle="1" w:styleId="T286">
    <w:name w:val="T286"/>
    <w:rPr>
      <w:rFonts w:ascii="Symbol" w:eastAsia="Symbol" w:hAnsi="Symbol" w:cs="Symbol"/>
    </w:rPr>
  </w:style>
  <w:style w:type="character" w:customStyle="1" w:styleId="T287">
    <w:name w:val="T287"/>
    <w:rPr>
      <w:rFonts w:ascii="Courier New" w:eastAsia="Courier New" w:hAnsi="Courier New" w:cs="Courier New"/>
    </w:rPr>
  </w:style>
  <w:style w:type="character" w:customStyle="1" w:styleId="T288">
    <w:name w:val="T288"/>
    <w:rPr>
      <w:rFonts w:ascii="Wingdings" w:eastAsia="Wingdings" w:hAnsi="Wingdings" w:cs="Wingdings"/>
    </w:rPr>
  </w:style>
  <w:style w:type="character" w:customStyle="1" w:styleId="T289">
    <w:name w:val="T289"/>
    <w:rPr>
      <w:rFonts w:ascii="Courier New" w:eastAsia="Courier New" w:hAnsi="Courier New" w:cs="Courier New"/>
    </w:rPr>
  </w:style>
  <w:style w:type="character" w:customStyle="1" w:styleId="T290">
    <w:name w:val="T290"/>
    <w:rPr>
      <w:rFonts w:ascii="Courier New" w:eastAsia="Courier New" w:hAnsi="Courier New" w:cs="Courier New"/>
    </w:rPr>
  </w:style>
  <w:style w:type="character" w:customStyle="1" w:styleId="T291">
    <w:name w:val="T291"/>
    <w:rPr>
      <w:rFonts w:ascii="Wingdings" w:eastAsia="Wingdings" w:hAnsi="Wingdings" w:cs="Wingdings"/>
    </w:rPr>
  </w:style>
  <w:style w:type="character" w:customStyle="1" w:styleId="T292">
    <w:name w:val="T292"/>
    <w:rPr>
      <w:rFonts w:ascii="Symbol" w:eastAsia="Symbol" w:hAnsi="Symbol" w:cs="Symbol"/>
    </w:rPr>
  </w:style>
  <w:style w:type="character" w:customStyle="1" w:styleId="T293">
    <w:name w:val="T293"/>
    <w:rPr>
      <w:rFonts w:ascii="Courier New" w:eastAsia="Courier New" w:hAnsi="Courier New" w:cs="Courier New"/>
    </w:rPr>
  </w:style>
  <w:style w:type="character" w:customStyle="1" w:styleId="T294">
    <w:name w:val="T294"/>
    <w:rPr>
      <w:rFonts w:ascii="Wingdings" w:eastAsia="Wingdings" w:hAnsi="Wingdings" w:cs="Wingdings"/>
    </w:rPr>
  </w:style>
  <w:style w:type="character" w:customStyle="1" w:styleId="T295">
    <w:name w:val="T295"/>
    <w:rPr>
      <w:rFonts w:ascii="Symbol" w:eastAsia="Symbol" w:hAnsi="Symbol" w:cs="Symbol"/>
    </w:rPr>
  </w:style>
  <w:style w:type="character" w:customStyle="1" w:styleId="T296">
    <w:name w:val="T296"/>
    <w:rPr>
      <w:rFonts w:ascii="Courier New" w:eastAsia="Courier New" w:hAnsi="Courier New" w:cs="Courier New"/>
    </w:rPr>
  </w:style>
  <w:style w:type="character" w:customStyle="1" w:styleId="T297">
    <w:name w:val="T297"/>
    <w:rPr>
      <w:rFonts w:ascii="Wingdings" w:eastAsia="Wingdings" w:hAnsi="Wingdings" w:cs="Wingdings"/>
    </w:rPr>
  </w:style>
  <w:style w:type="character" w:customStyle="1" w:styleId="T298">
    <w:name w:val="T298"/>
    <w:rPr>
      <w:rFonts w:ascii="Symbol" w:eastAsia="Symbol" w:hAnsi="Symbol" w:cs="Symbol"/>
    </w:rPr>
  </w:style>
  <w:style w:type="character" w:customStyle="1" w:styleId="T299">
    <w:name w:val="T299"/>
    <w:rPr>
      <w:rFonts w:ascii="Courier New" w:eastAsia="Courier New" w:hAnsi="Courier New" w:cs="Courier New"/>
    </w:rPr>
  </w:style>
  <w:style w:type="character" w:customStyle="1" w:styleId="T300">
    <w:name w:val="T300"/>
    <w:rPr>
      <w:rFonts w:ascii="Wingdings" w:eastAsia="Wingdings" w:hAnsi="Wingdings" w:cs="Wingdings"/>
    </w:rPr>
  </w:style>
  <w:style w:type="character" w:customStyle="1" w:styleId="T301">
    <w:name w:val="T301"/>
    <w:rPr>
      <w:rFonts w:ascii="Symbol" w:eastAsia="Symbol" w:hAnsi="Symbol" w:cs="Symbol"/>
    </w:rPr>
  </w:style>
  <w:style w:type="character" w:customStyle="1" w:styleId="T302">
    <w:name w:val="T302"/>
    <w:rPr>
      <w:rFonts w:ascii="Courier New" w:eastAsia="Courier New" w:hAnsi="Courier New" w:cs="Courier New"/>
    </w:rPr>
  </w:style>
  <w:style w:type="character" w:customStyle="1" w:styleId="T303">
    <w:name w:val="T303"/>
    <w:rPr>
      <w:rFonts w:ascii="Wingdings" w:eastAsia="Wingdings" w:hAnsi="Wingdings" w:cs="Wingdings"/>
    </w:rPr>
  </w:style>
  <w:style w:type="character" w:customStyle="1" w:styleId="T304">
    <w:name w:val="T304"/>
    <w:rPr>
      <w:rFonts w:ascii="Symbol" w:eastAsia="Symbol" w:hAnsi="Symbol" w:cs="Symbol"/>
    </w:rPr>
  </w:style>
  <w:style w:type="character" w:customStyle="1" w:styleId="T305">
    <w:name w:val="T305"/>
    <w:rPr>
      <w:rFonts w:ascii="Courier New" w:eastAsia="Courier New" w:hAnsi="Courier New" w:cs="Courier New"/>
    </w:rPr>
  </w:style>
  <w:style w:type="character" w:customStyle="1" w:styleId="T306">
    <w:name w:val="T306"/>
    <w:rPr>
      <w:rFonts w:ascii="Wingdings" w:eastAsia="Wingdings" w:hAnsi="Wingdings" w:cs="Wingdings"/>
    </w:rPr>
  </w:style>
  <w:style w:type="character" w:customStyle="1" w:styleId="T307">
    <w:name w:val="T307"/>
    <w:rPr>
      <w:rFonts w:ascii="Courier New" w:eastAsia="Courier New" w:hAnsi="Courier New" w:cs="Courier New"/>
    </w:rPr>
  </w:style>
  <w:style w:type="character" w:customStyle="1" w:styleId="T308">
    <w:name w:val="T308"/>
    <w:rPr>
      <w:rFonts w:ascii="Courier New" w:eastAsia="Courier New" w:hAnsi="Courier New" w:cs="Courier New"/>
    </w:rPr>
  </w:style>
  <w:style w:type="character" w:customStyle="1" w:styleId="T309">
    <w:name w:val="T309"/>
    <w:rPr>
      <w:rFonts w:ascii="Wingdings" w:eastAsia="Wingdings" w:hAnsi="Wingdings" w:cs="Wingdings"/>
    </w:rPr>
  </w:style>
  <w:style w:type="character" w:customStyle="1" w:styleId="T310">
    <w:name w:val="T310"/>
    <w:rPr>
      <w:rFonts w:ascii="Symbol" w:eastAsia="Symbol" w:hAnsi="Symbol" w:cs="Symbol"/>
    </w:rPr>
  </w:style>
  <w:style w:type="character" w:customStyle="1" w:styleId="T311">
    <w:name w:val="T311"/>
    <w:rPr>
      <w:rFonts w:ascii="Courier New" w:eastAsia="Courier New" w:hAnsi="Courier New" w:cs="Courier New"/>
    </w:rPr>
  </w:style>
  <w:style w:type="character" w:customStyle="1" w:styleId="T312">
    <w:name w:val="T312"/>
    <w:rPr>
      <w:rFonts w:ascii="Wingdings" w:eastAsia="Wingdings" w:hAnsi="Wingdings" w:cs="Wingdings"/>
    </w:rPr>
  </w:style>
  <w:style w:type="character" w:customStyle="1" w:styleId="T313">
    <w:name w:val="T313"/>
    <w:rPr>
      <w:rFonts w:ascii="Symbol" w:eastAsia="Symbol" w:hAnsi="Symbol" w:cs="Symbol"/>
    </w:rPr>
  </w:style>
  <w:style w:type="character" w:customStyle="1" w:styleId="T314">
    <w:name w:val="T314"/>
    <w:rPr>
      <w:rFonts w:ascii="Courier New" w:eastAsia="Courier New" w:hAnsi="Courier New" w:cs="Courier New"/>
    </w:rPr>
  </w:style>
  <w:style w:type="character" w:customStyle="1" w:styleId="T315">
    <w:name w:val="T315"/>
    <w:rPr>
      <w:rFonts w:ascii="Wingdings" w:eastAsia="Wingdings" w:hAnsi="Wingdings" w:cs="Wingdings"/>
    </w:rPr>
  </w:style>
  <w:style w:type="character" w:customStyle="1" w:styleId="T316">
    <w:name w:val="T316"/>
    <w:rPr>
      <w:rFonts w:ascii="Wingdings" w:eastAsia="Wingdings" w:hAnsi="Wingdings" w:cs="Wingdings"/>
    </w:rPr>
  </w:style>
  <w:style w:type="character" w:customStyle="1" w:styleId="T317">
    <w:name w:val="T317"/>
    <w:rPr>
      <w:rFonts w:ascii="Courier New" w:eastAsia="Courier New" w:hAnsi="Courier New" w:cs="Courier New"/>
    </w:rPr>
  </w:style>
  <w:style w:type="character" w:customStyle="1" w:styleId="T318">
    <w:name w:val="T318"/>
    <w:rPr>
      <w:rFonts w:ascii="Wingdings" w:eastAsia="Wingdings" w:hAnsi="Wingdings" w:cs="Wingdings"/>
    </w:rPr>
  </w:style>
  <w:style w:type="character" w:customStyle="1" w:styleId="T319">
    <w:name w:val="T319"/>
    <w:rPr>
      <w:rFonts w:ascii="Symbol" w:eastAsia="Symbol" w:hAnsi="Symbol" w:cs="Symbol"/>
    </w:rPr>
  </w:style>
  <w:style w:type="character" w:customStyle="1" w:styleId="T320">
    <w:name w:val="T320"/>
    <w:rPr>
      <w:rFonts w:ascii="Courier New" w:eastAsia="Courier New" w:hAnsi="Courier New" w:cs="Courier New"/>
    </w:rPr>
  </w:style>
  <w:style w:type="character" w:customStyle="1" w:styleId="T321">
    <w:name w:val="T321"/>
    <w:rPr>
      <w:rFonts w:ascii="Wingdings" w:eastAsia="Wingdings" w:hAnsi="Wingdings" w:cs="Wingdings"/>
    </w:rPr>
  </w:style>
  <w:style w:type="character" w:customStyle="1" w:styleId="T322">
    <w:name w:val="T322"/>
    <w:rPr>
      <w:rFonts w:ascii="Symbol" w:eastAsia="Symbol" w:hAnsi="Symbol" w:cs="Symbol"/>
    </w:rPr>
  </w:style>
  <w:style w:type="character" w:customStyle="1" w:styleId="T323">
    <w:name w:val="T323"/>
    <w:rPr>
      <w:rFonts w:ascii="Courier New" w:eastAsia="Courier New" w:hAnsi="Courier New" w:cs="Courier New"/>
    </w:rPr>
  </w:style>
  <w:style w:type="character" w:customStyle="1" w:styleId="T324">
    <w:name w:val="T324"/>
    <w:rPr>
      <w:rFonts w:ascii="Wingdings" w:eastAsia="Wingdings" w:hAnsi="Wingdings" w:cs="Wingdings"/>
    </w:rPr>
  </w:style>
  <w:style w:type="character" w:customStyle="1" w:styleId="T325">
    <w:name w:val="T325"/>
    <w:rPr>
      <w:rFonts w:ascii="Symbol" w:eastAsia="Symbol" w:hAnsi="Symbol" w:cs="Symbol"/>
    </w:rPr>
  </w:style>
  <w:style w:type="character" w:customStyle="1" w:styleId="T326">
    <w:name w:val="T326"/>
    <w:rPr>
      <w:rFonts w:ascii="Courier New" w:eastAsia="Courier New" w:hAnsi="Courier New" w:cs="Courier New"/>
    </w:rPr>
  </w:style>
  <w:style w:type="character" w:customStyle="1" w:styleId="T327">
    <w:name w:val="T327"/>
    <w:rPr>
      <w:rFonts w:ascii="Wingdings" w:eastAsia="Wingdings" w:hAnsi="Wingdings" w:cs="Wingdings"/>
    </w:rPr>
  </w:style>
  <w:style w:type="character" w:customStyle="1" w:styleId="T328">
    <w:name w:val="T328"/>
    <w:rPr>
      <w:rFonts w:ascii="Symbol" w:eastAsia="Symbol" w:hAnsi="Symbol" w:cs="Symbol"/>
    </w:rPr>
  </w:style>
  <w:style w:type="character" w:customStyle="1" w:styleId="T329">
    <w:name w:val="T329"/>
    <w:rPr>
      <w:rFonts w:ascii="Courier New" w:eastAsia="Courier New" w:hAnsi="Courier New" w:cs="Courier New"/>
    </w:rPr>
  </w:style>
  <w:style w:type="character" w:customStyle="1" w:styleId="T330">
    <w:name w:val="T330"/>
    <w:rPr>
      <w:rFonts w:ascii="Wingdings" w:eastAsia="Wingdings" w:hAnsi="Wingdings" w:cs="Wingdings"/>
    </w:rPr>
  </w:style>
  <w:style w:type="character" w:customStyle="1" w:styleId="T331">
    <w:name w:val="T331"/>
    <w:rPr>
      <w:rFonts w:ascii="Symbol" w:eastAsia="Symbol" w:hAnsi="Symbol" w:cs="Symbol"/>
    </w:rPr>
  </w:style>
  <w:style w:type="character" w:customStyle="1" w:styleId="T332">
    <w:name w:val="T332"/>
    <w:rPr>
      <w:rFonts w:ascii="Courier New" w:eastAsia="Courier New" w:hAnsi="Courier New" w:cs="Courier New"/>
    </w:rPr>
  </w:style>
  <w:style w:type="character" w:customStyle="1" w:styleId="T333">
    <w:name w:val="T333"/>
    <w:rPr>
      <w:rFonts w:ascii="Wingdings" w:eastAsia="Wingdings" w:hAnsi="Wingdings" w:cs="Wingdings"/>
    </w:rPr>
  </w:style>
  <w:style w:type="character" w:customStyle="1" w:styleId="T334">
    <w:name w:val="T334"/>
    <w:rPr>
      <w:rFonts w:ascii="Symbol" w:eastAsia="Symbol" w:hAnsi="Symbol" w:cs="Symbol"/>
    </w:rPr>
  </w:style>
  <w:style w:type="character" w:customStyle="1" w:styleId="T335">
    <w:name w:val="T335"/>
    <w:rPr>
      <w:rFonts w:ascii="Courier New" w:eastAsia="Courier New" w:hAnsi="Courier New" w:cs="Courier New"/>
    </w:rPr>
  </w:style>
  <w:style w:type="character" w:customStyle="1" w:styleId="T336">
    <w:name w:val="T336"/>
    <w:rPr>
      <w:rFonts w:ascii="Wingdings" w:eastAsia="Wingdings" w:hAnsi="Wingdings" w:cs="Wingdings"/>
    </w:rPr>
  </w:style>
  <w:style w:type="character" w:customStyle="1" w:styleId="T337">
    <w:name w:val="T337"/>
    <w:rPr>
      <w:rFonts w:ascii="Symbol" w:eastAsia="Symbol" w:hAnsi="Symbol" w:cs="Symbol"/>
    </w:rPr>
  </w:style>
  <w:style w:type="character" w:customStyle="1" w:styleId="T338">
    <w:name w:val="T338"/>
    <w:rPr>
      <w:rFonts w:ascii="Courier New" w:eastAsia="Courier New" w:hAnsi="Courier New" w:cs="Courier New"/>
    </w:rPr>
  </w:style>
  <w:style w:type="character" w:customStyle="1" w:styleId="T339">
    <w:name w:val="T339"/>
    <w:rPr>
      <w:rFonts w:ascii="Wingdings" w:eastAsia="Wingdings" w:hAnsi="Wingdings" w:cs="Wingdings"/>
    </w:rPr>
  </w:style>
  <w:style w:type="character" w:customStyle="1" w:styleId="T340">
    <w:name w:val="T340"/>
    <w:rPr>
      <w:rFonts w:ascii="Symbol" w:eastAsia="Symbol" w:hAnsi="Symbol" w:cs="Symbol"/>
    </w:rPr>
  </w:style>
  <w:style w:type="character" w:customStyle="1" w:styleId="T341">
    <w:name w:val="T341"/>
    <w:rPr>
      <w:rFonts w:ascii="Courier New" w:eastAsia="Courier New" w:hAnsi="Courier New" w:cs="Courier New"/>
    </w:rPr>
  </w:style>
  <w:style w:type="character" w:customStyle="1" w:styleId="T342">
    <w:name w:val="T342"/>
    <w:rPr>
      <w:rFonts w:ascii="Wingdings" w:eastAsia="Wingdings" w:hAnsi="Wingdings" w:cs="Wingdings"/>
    </w:rPr>
  </w:style>
  <w:style w:type="character" w:customStyle="1" w:styleId="T343">
    <w:name w:val="T343"/>
    <w:rPr>
      <w:rFonts w:ascii="Symbol" w:eastAsia="Symbol" w:hAnsi="Symbol" w:cs="Symbol"/>
    </w:rPr>
  </w:style>
  <w:style w:type="character" w:customStyle="1" w:styleId="T344">
    <w:name w:val="T344"/>
    <w:rPr>
      <w:rFonts w:ascii="Courier New" w:eastAsia="Courier New" w:hAnsi="Courier New" w:cs="Courier New"/>
    </w:rPr>
  </w:style>
  <w:style w:type="character" w:customStyle="1" w:styleId="T345">
    <w:name w:val="T345"/>
    <w:rPr>
      <w:rFonts w:ascii="Wingdings" w:eastAsia="Wingdings" w:hAnsi="Wingdings" w:cs="Wingdings"/>
    </w:rPr>
  </w:style>
  <w:style w:type="character" w:customStyle="1" w:styleId="T346">
    <w:name w:val="T346"/>
    <w:rPr>
      <w:rFonts w:ascii="Symbol" w:eastAsia="Symbol" w:hAnsi="Symbol" w:cs="Symbol"/>
    </w:rPr>
  </w:style>
  <w:style w:type="character" w:customStyle="1" w:styleId="T347">
    <w:name w:val="T347"/>
    <w:rPr>
      <w:rFonts w:ascii="Courier New" w:eastAsia="Courier New" w:hAnsi="Courier New" w:cs="Courier New"/>
    </w:rPr>
  </w:style>
  <w:style w:type="character" w:customStyle="1" w:styleId="T348">
    <w:name w:val="T348"/>
    <w:rPr>
      <w:rFonts w:ascii="Wingdings" w:eastAsia="Wingdings" w:hAnsi="Wingdings" w:cs="Wingdings"/>
    </w:rPr>
  </w:style>
  <w:style w:type="character" w:customStyle="1" w:styleId="T349">
    <w:name w:val="T349"/>
    <w:rPr>
      <w:rFonts w:ascii="Symbol" w:eastAsia="Symbol" w:hAnsi="Symbol" w:cs="Symbol"/>
    </w:rPr>
  </w:style>
  <w:style w:type="character" w:customStyle="1" w:styleId="T350">
    <w:name w:val="T350"/>
    <w:rPr>
      <w:rFonts w:ascii="Courier New" w:eastAsia="Courier New" w:hAnsi="Courier New" w:cs="Courier New"/>
    </w:rPr>
  </w:style>
  <w:style w:type="character" w:customStyle="1" w:styleId="T351">
    <w:name w:val="T351"/>
    <w:rPr>
      <w:rFonts w:ascii="Wingdings" w:eastAsia="Wingdings" w:hAnsi="Wingdings" w:cs="Wingdings"/>
    </w:rPr>
  </w:style>
  <w:style w:type="character" w:customStyle="1" w:styleId="T352">
    <w:name w:val="T352"/>
    <w:rPr>
      <w:rFonts w:ascii="Symbol" w:eastAsia="Symbol" w:hAnsi="Symbol" w:cs="Symbol"/>
    </w:rPr>
  </w:style>
  <w:style w:type="character" w:customStyle="1" w:styleId="T353">
    <w:name w:val="T353"/>
    <w:rPr>
      <w:rFonts w:ascii="Courier New" w:eastAsia="Courier New" w:hAnsi="Courier New" w:cs="Courier New"/>
    </w:rPr>
  </w:style>
  <w:style w:type="character" w:customStyle="1" w:styleId="T354">
    <w:name w:val="T354"/>
    <w:rPr>
      <w:rFonts w:ascii="Wingdings" w:eastAsia="Wingdings" w:hAnsi="Wingdings" w:cs="Wingdings"/>
    </w:rPr>
  </w:style>
  <w:style w:type="character" w:customStyle="1" w:styleId="T355">
    <w:name w:val="T355"/>
    <w:rPr>
      <w:rFonts w:ascii="Symbol" w:eastAsia="Symbol" w:hAnsi="Symbol" w:cs="Symbol"/>
    </w:rPr>
  </w:style>
  <w:style w:type="character" w:customStyle="1" w:styleId="T356">
    <w:name w:val="T356"/>
    <w:rPr>
      <w:rFonts w:ascii="Courier New" w:eastAsia="Courier New" w:hAnsi="Courier New" w:cs="Courier New"/>
    </w:rPr>
  </w:style>
  <w:style w:type="character" w:customStyle="1" w:styleId="T357">
    <w:name w:val="T357"/>
    <w:rPr>
      <w:rFonts w:ascii="Wingdings" w:eastAsia="Wingdings" w:hAnsi="Wingdings" w:cs="Wingdings"/>
    </w:rPr>
  </w:style>
  <w:style w:type="character" w:customStyle="1" w:styleId="T358">
    <w:name w:val="T358"/>
    <w:rPr>
      <w:rFonts w:ascii="Symbol" w:eastAsia="Symbol" w:hAnsi="Symbol" w:cs="Symbol"/>
    </w:rPr>
  </w:style>
  <w:style w:type="character" w:customStyle="1" w:styleId="T359">
    <w:name w:val="T359"/>
    <w:rPr>
      <w:rFonts w:ascii="Courier New" w:eastAsia="Courier New" w:hAnsi="Courier New" w:cs="Courier New"/>
    </w:rPr>
  </w:style>
  <w:style w:type="character" w:customStyle="1" w:styleId="T360">
    <w:name w:val="T360"/>
    <w:rPr>
      <w:rFonts w:ascii="Wingdings" w:eastAsia="Wingdings" w:hAnsi="Wingdings" w:cs="Wingdings"/>
    </w:rPr>
  </w:style>
  <w:style w:type="character" w:customStyle="1" w:styleId="T361">
    <w:name w:val="T361"/>
    <w:rPr>
      <w:rFonts w:ascii="Arial" w:eastAsia="Arial" w:hAnsi="Arial" w:cs="Arial"/>
    </w:rPr>
  </w:style>
  <w:style w:type="character" w:customStyle="1" w:styleId="T362">
    <w:name w:val="T362"/>
    <w:rPr>
      <w:rFonts w:ascii="Courier New" w:eastAsia="Courier New" w:hAnsi="Courier New" w:cs="Courier New"/>
    </w:rPr>
  </w:style>
  <w:style w:type="character" w:customStyle="1" w:styleId="T363">
    <w:name w:val="T363"/>
    <w:rPr>
      <w:rFonts w:ascii="Wingdings" w:eastAsia="Wingdings" w:hAnsi="Wingdings" w:cs="Wingdings"/>
    </w:rPr>
  </w:style>
  <w:style w:type="character" w:customStyle="1" w:styleId="T364">
    <w:name w:val="T364"/>
    <w:rPr>
      <w:rFonts w:ascii="Symbol" w:eastAsia="Symbol" w:hAnsi="Symbol" w:cs="Symbol"/>
    </w:rPr>
  </w:style>
  <w:style w:type="character" w:customStyle="1" w:styleId="T365">
    <w:name w:val="T365"/>
    <w:rPr>
      <w:rFonts w:ascii="Courier New" w:eastAsia="Courier New" w:hAnsi="Courier New" w:cs="Courier New"/>
    </w:rPr>
  </w:style>
  <w:style w:type="character" w:customStyle="1" w:styleId="T366">
    <w:name w:val="T366"/>
    <w:rPr>
      <w:rFonts w:ascii="Wingdings" w:eastAsia="Wingdings" w:hAnsi="Wingdings" w:cs="Wingdings"/>
    </w:rPr>
  </w:style>
  <w:style w:type="character" w:customStyle="1" w:styleId="T367">
    <w:name w:val="T367"/>
    <w:rPr>
      <w:rFonts w:ascii="Symbol" w:eastAsia="Symbol" w:hAnsi="Symbol" w:cs="Symbol"/>
    </w:rPr>
  </w:style>
  <w:style w:type="character" w:customStyle="1" w:styleId="T368">
    <w:name w:val="T368"/>
    <w:rPr>
      <w:rFonts w:ascii="Courier New" w:eastAsia="Courier New" w:hAnsi="Courier New" w:cs="Courier New"/>
    </w:rPr>
  </w:style>
  <w:style w:type="character" w:customStyle="1" w:styleId="T369">
    <w:name w:val="T369"/>
    <w:rPr>
      <w:rFonts w:ascii="Wingdings" w:eastAsia="Wingdings" w:hAnsi="Wingdings" w:cs="Wingdings"/>
    </w:rPr>
  </w:style>
  <w:style w:type="character" w:customStyle="1" w:styleId="T370">
    <w:name w:val="T370"/>
    <w:rPr>
      <w:rFonts w:ascii="Arial" w:eastAsia="Arial" w:hAnsi="Arial" w:cs="Arial"/>
    </w:rPr>
  </w:style>
  <w:style w:type="character" w:customStyle="1" w:styleId="T371">
    <w:name w:val="T371"/>
    <w:rPr>
      <w:rFonts w:ascii="Courier New" w:eastAsia="Courier New" w:hAnsi="Courier New" w:cs="Courier New"/>
    </w:rPr>
  </w:style>
  <w:style w:type="character" w:customStyle="1" w:styleId="T372">
    <w:name w:val="T372"/>
    <w:rPr>
      <w:rFonts w:ascii="Wingdings" w:eastAsia="Wingdings" w:hAnsi="Wingdings" w:cs="Wingdings"/>
    </w:rPr>
  </w:style>
  <w:style w:type="character" w:customStyle="1" w:styleId="T373">
    <w:name w:val="T373"/>
    <w:rPr>
      <w:rFonts w:ascii="Symbol" w:eastAsia="Symbol" w:hAnsi="Symbol" w:cs="Symbol"/>
    </w:rPr>
  </w:style>
  <w:style w:type="character" w:customStyle="1" w:styleId="T374">
    <w:name w:val="T374"/>
    <w:rPr>
      <w:rFonts w:ascii="Courier New" w:eastAsia="Courier New" w:hAnsi="Courier New" w:cs="Courier New"/>
    </w:rPr>
  </w:style>
  <w:style w:type="character" w:customStyle="1" w:styleId="T375">
    <w:name w:val="T375"/>
    <w:rPr>
      <w:rFonts w:ascii="Wingdings" w:eastAsia="Wingdings" w:hAnsi="Wingdings" w:cs="Wingdings"/>
    </w:rPr>
  </w:style>
  <w:style w:type="character" w:customStyle="1" w:styleId="T376">
    <w:name w:val="T376"/>
    <w:rPr>
      <w:rFonts w:ascii="Symbol" w:eastAsia="Symbol" w:hAnsi="Symbol" w:cs="Symbol"/>
    </w:rPr>
  </w:style>
  <w:style w:type="character" w:customStyle="1" w:styleId="T377">
    <w:name w:val="T377"/>
    <w:rPr>
      <w:rFonts w:ascii="Courier New" w:eastAsia="Courier New" w:hAnsi="Courier New" w:cs="Courier New"/>
    </w:rPr>
  </w:style>
  <w:style w:type="character" w:customStyle="1" w:styleId="T378">
    <w:name w:val="T378"/>
    <w:rPr>
      <w:rFonts w:ascii="Wingdings" w:eastAsia="Wingdings" w:hAnsi="Wingdings" w:cs="Wingdings"/>
    </w:rPr>
  </w:style>
  <w:style w:type="character" w:customStyle="1" w:styleId="T379">
    <w:name w:val="T379"/>
  </w:style>
  <w:style w:type="character" w:customStyle="1" w:styleId="T380">
    <w:name w:val="T380"/>
  </w:style>
  <w:style w:type="character" w:customStyle="1" w:styleId="T381">
    <w:name w:val="T381"/>
  </w:style>
  <w:style w:type="character" w:customStyle="1" w:styleId="T382">
    <w:name w:val="T382"/>
  </w:style>
  <w:style w:type="character" w:customStyle="1" w:styleId="T383">
    <w:name w:val="T383"/>
  </w:style>
  <w:style w:type="character" w:customStyle="1" w:styleId="T384">
    <w:name w:val="T384"/>
  </w:style>
  <w:style w:type="character" w:customStyle="1" w:styleId="T385">
    <w:name w:val="T385"/>
  </w:style>
  <w:style w:type="character" w:customStyle="1" w:styleId="T386">
    <w:name w:val="T386"/>
  </w:style>
  <w:style w:type="character" w:customStyle="1" w:styleId="T387">
    <w:name w:val="T387"/>
  </w:style>
  <w:style w:type="character" w:customStyle="1" w:styleId="T388">
    <w:name w:val="T388"/>
    <w:rPr>
      <w:rFonts w:ascii="Arial" w:eastAsia="Arial" w:hAnsi="Arial" w:cs="Arial"/>
    </w:rPr>
  </w:style>
  <w:style w:type="character" w:customStyle="1" w:styleId="T389">
    <w:name w:val="T389"/>
    <w:rPr>
      <w:rFonts w:ascii="Courier New" w:eastAsia="Courier New" w:hAnsi="Courier New" w:cs="Courier New"/>
    </w:rPr>
  </w:style>
  <w:style w:type="character" w:customStyle="1" w:styleId="T390">
    <w:name w:val="T390"/>
    <w:rPr>
      <w:rFonts w:ascii="Wingdings" w:eastAsia="Wingdings" w:hAnsi="Wingdings" w:cs="Wingdings"/>
    </w:rPr>
  </w:style>
  <w:style w:type="character" w:customStyle="1" w:styleId="T391">
    <w:name w:val="T391"/>
    <w:rPr>
      <w:rFonts w:ascii="Symbol" w:eastAsia="Symbol" w:hAnsi="Symbol" w:cs="Symbol"/>
    </w:rPr>
  </w:style>
  <w:style w:type="character" w:customStyle="1" w:styleId="T392">
    <w:name w:val="T392"/>
    <w:rPr>
      <w:rFonts w:ascii="Courier New" w:eastAsia="Courier New" w:hAnsi="Courier New" w:cs="Courier New"/>
    </w:rPr>
  </w:style>
  <w:style w:type="character" w:customStyle="1" w:styleId="T393">
    <w:name w:val="T393"/>
    <w:rPr>
      <w:rFonts w:ascii="Wingdings" w:eastAsia="Wingdings" w:hAnsi="Wingdings" w:cs="Wingdings"/>
    </w:rPr>
  </w:style>
  <w:style w:type="character" w:customStyle="1" w:styleId="T394">
    <w:name w:val="T394"/>
    <w:rPr>
      <w:rFonts w:ascii="Symbol" w:eastAsia="Symbol" w:hAnsi="Symbol" w:cs="Symbol"/>
    </w:rPr>
  </w:style>
  <w:style w:type="character" w:customStyle="1" w:styleId="T395">
    <w:name w:val="T395"/>
    <w:rPr>
      <w:rFonts w:ascii="Courier New" w:eastAsia="Courier New" w:hAnsi="Courier New" w:cs="Courier New"/>
    </w:rPr>
  </w:style>
  <w:style w:type="character" w:customStyle="1" w:styleId="T396">
    <w:name w:val="T396"/>
    <w:rPr>
      <w:rFonts w:ascii="Wingdings" w:eastAsia="Wingdings" w:hAnsi="Wingdings" w:cs="Wingdings"/>
    </w:rPr>
  </w:style>
  <w:style w:type="character" w:customStyle="1" w:styleId="T397">
    <w:name w:val="T397"/>
    <w:rPr>
      <w:rFonts w:ascii="Arial" w:eastAsia="Arial" w:hAnsi="Arial" w:cs="Arial"/>
    </w:rPr>
  </w:style>
  <w:style w:type="character" w:customStyle="1" w:styleId="T398">
    <w:name w:val="T398"/>
    <w:rPr>
      <w:rFonts w:ascii="Courier New" w:eastAsia="Courier New" w:hAnsi="Courier New" w:cs="Courier New"/>
    </w:rPr>
  </w:style>
  <w:style w:type="character" w:customStyle="1" w:styleId="T399">
    <w:name w:val="T399"/>
    <w:rPr>
      <w:rFonts w:ascii="Wingdings" w:eastAsia="Wingdings" w:hAnsi="Wingdings" w:cs="Wingdings"/>
    </w:rPr>
  </w:style>
  <w:style w:type="character" w:customStyle="1" w:styleId="T400">
    <w:name w:val="T400"/>
    <w:rPr>
      <w:rFonts w:ascii="Symbol" w:eastAsia="Symbol" w:hAnsi="Symbol" w:cs="Symbol"/>
    </w:rPr>
  </w:style>
  <w:style w:type="character" w:customStyle="1" w:styleId="T401">
    <w:name w:val="T401"/>
    <w:rPr>
      <w:rFonts w:ascii="Courier New" w:eastAsia="Courier New" w:hAnsi="Courier New" w:cs="Courier New"/>
    </w:rPr>
  </w:style>
  <w:style w:type="character" w:customStyle="1" w:styleId="T402">
    <w:name w:val="T402"/>
    <w:rPr>
      <w:rFonts w:ascii="Wingdings" w:eastAsia="Wingdings" w:hAnsi="Wingdings" w:cs="Wingdings"/>
    </w:rPr>
  </w:style>
  <w:style w:type="character" w:customStyle="1" w:styleId="T403">
    <w:name w:val="T403"/>
    <w:rPr>
      <w:rFonts w:ascii="Symbol" w:eastAsia="Symbol" w:hAnsi="Symbol" w:cs="Symbol"/>
    </w:rPr>
  </w:style>
  <w:style w:type="character" w:customStyle="1" w:styleId="T404">
    <w:name w:val="T404"/>
    <w:rPr>
      <w:rFonts w:ascii="Courier New" w:eastAsia="Courier New" w:hAnsi="Courier New" w:cs="Courier New"/>
    </w:rPr>
  </w:style>
  <w:style w:type="character" w:customStyle="1" w:styleId="T405">
    <w:name w:val="T405"/>
    <w:rPr>
      <w:rFonts w:ascii="Wingdings" w:eastAsia="Wingdings" w:hAnsi="Wingdings" w:cs="Wingdings"/>
    </w:rPr>
  </w:style>
  <w:style w:type="character" w:customStyle="1" w:styleId="T406">
    <w:name w:val="T406"/>
  </w:style>
  <w:style w:type="character" w:customStyle="1" w:styleId="T407">
    <w:name w:val="T407"/>
  </w:style>
  <w:style w:type="character" w:customStyle="1" w:styleId="T408">
    <w:name w:val="T408"/>
  </w:style>
  <w:style w:type="character" w:customStyle="1" w:styleId="T409">
    <w:name w:val="T409"/>
  </w:style>
  <w:style w:type="character" w:customStyle="1" w:styleId="T410">
    <w:name w:val="T410"/>
  </w:style>
  <w:style w:type="character" w:customStyle="1" w:styleId="T411">
    <w:name w:val="T411"/>
  </w:style>
  <w:style w:type="character" w:customStyle="1" w:styleId="T412">
    <w:name w:val="T412"/>
  </w:style>
  <w:style w:type="character" w:customStyle="1" w:styleId="T413">
    <w:name w:val="T413"/>
  </w:style>
  <w:style w:type="character" w:customStyle="1" w:styleId="T414">
    <w:name w:val="T414"/>
  </w:style>
  <w:style w:type="character" w:customStyle="1" w:styleId="T415">
    <w:name w:val="T415"/>
    <w:rPr>
      <w:rFonts w:ascii="Symbol" w:eastAsia="Symbol" w:hAnsi="Symbol" w:cs="Symbol"/>
    </w:rPr>
  </w:style>
  <w:style w:type="character" w:customStyle="1" w:styleId="T416">
    <w:name w:val="T416"/>
    <w:rPr>
      <w:rFonts w:ascii="Courier New" w:eastAsia="Courier New" w:hAnsi="Courier New" w:cs="Courier New"/>
    </w:rPr>
  </w:style>
  <w:style w:type="character" w:customStyle="1" w:styleId="T417">
    <w:name w:val="T417"/>
    <w:rPr>
      <w:rFonts w:ascii="Wingdings" w:eastAsia="Wingdings" w:hAnsi="Wingdings" w:cs="Wingdings"/>
    </w:rPr>
  </w:style>
  <w:style w:type="character" w:customStyle="1" w:styleId="T418">
    <w:name w:val="T418"/>
    <w:rPr>
      <w:rFonts w:ascii="Symbol" w:eastAsia="Symbol" w:hAnsi="Symbol" w:cs="Symbol"/>
    </w:rPr>
  </w:style>
  <w:style w:type="character" w:customStyle="1" w:styleId="T419">
    <w:name w:val="T419"/>
    <w:rPr>
      <w:rFonts w:ascii="Courier New" w:eastAsia="Courier New" w:hAnsi="Courier New" w:cs="Courier New"/>
    </w:rPr>
  </w:style>
  <w:style w:type="character" w:customStyle="1" w:styleId="T420">
    <w:name w:val="T420"/>
    <w:rPr>
      <w:rFonts w:ascii="Wingdings" w:eastAsia="Wingdings" w:hAnsi="Wingdings" w:cs="Wingdings"/>
    </w:rPr>
  </w:style>
  <w:style w:type="character" w:customStyle="1" w:styleId="T421">
    <w:name w:val="T421"/>
    <w:rPr>
      <w:rFonts w:ascii="Symbol" w:eastAsia="Symbol" w:hAnsi="Symbol" w:cs="Symbol"/>
    </w:rPr>
  </w:style>
  <w:style w:type="character" w:customStyle="1" w:styleId="T422">
    <w:name w:val="T422"/>
    <w:rPr>
      <w:rFonts w:ascii="Courier New" w:eastAsia="Courier New" w:hAnsi="Courier New" w:cs="Courier New"/>
    </w:rPr>
  </w:style>
  <w:style w:type="character" w:customStyle="1" w:styleId="T423">
    <w:name w:val="T423"/>
    <w:rPr>
      <w:rFonts w:ascii="Wingdings" w:eastAsia="Wingdings" w:hAnsi="Wingdings" w:cs="Wingdings"/>
    </w:rPr>
  </w:style>
  <w:style w:type="character" w:customStyle="1" w:styleId="T424">
    <w:name w:val="T424"/>
  </w:style>
  <w:style w:type="character" w:customStyle="1" w:styleId="T425">
    <w:name w:val="T425"/>
  </w:style>
  <w:style w:type="character" w:customStyle="1" w:styleId="T426">
    <w:name w:val="T426"/>
  </w:style>
  <w:style w:type="character" w:customStyle="1" w:styleId="T427">
    <w:name w:val="T427"/>
  </w:style>
  <w:style w:type="character" w:customStyle="1" w:styleId="T428">
    <w:name w:val="T428"/>
  </w:style>
  <w:style w:type="character" w:customStyle="1" w:styleId="T429">
    <w:name w:val="T429"/>
  </w:style>
  <w:style w:type="character" w:customStyle="1" w:styleId="T430">
    <w:name w:val="T430"/>
  </w:style>
  <w:style w:type="character" w:customStyle="1" w:styleId="T431">
    <w:name w:val="T431"/>
  </w:style>
  <w:style w:type="character" w:customStyle="1" w:styleId="T432">
    <w:name w:val="T432"/>
  </w:style>
  <w:style w:type="character" w:customStyle="1" w:styleId="T433">
    <w:name w:val="T433"/>
    <w:rPr>
      <w:rFonts w:ascii="Symbol" w:eastAsia="Symbol" w:hAnsi="Symbol" w:cs="Symbol"/>
    </w:rPr>
  </w:style>
  <w:style w:type="character" w:customStyle="1" w:styleId="T434">
    <w:name w:val="T434"/>
    <w:rPr>
      <w:rFonts w:ascii="Courier New" w:eastAsia="Courier New" w:hAnsi="Courier New" w:cs="Courier New"/>
    </w:rPr>
  </w:style>
  <w:style w:type="character" w:customStyle="1" w:styleId="T435">
    <w:name w:val="T435"/>
    <w:rPr>
      <w:rFonts w:ascii="Wingdings" w:eastAsia="Wingdings" w:hAnsi="Wingdings" w:cs="Wingdings"/>
    </w:rPr>
  </w:style>
  <w:style w:type="character" w:customStyle="1" w:styleId="T436">
    <w:name w:val="T436"/>
    <w:rPr>
      <w:rFonts w:ascii="Symbol" w:eastAsia="Symbol" w:hAnsi="Symbol" w:cs="Symbol"/>
    </w:rPr>
  </w:style>
  <w:style w:type="character" w:customStyle="1" w:styleId="T437">
    <w:name w:val="T437"/>
    <w:rPr>
      <w:rFonts w:ascii="Courier New" w:eastAsia="Courier New" w:hAnsi="Courier New" w:cs="Courier New"/>
    </w:rPr>
  </w:style>
  <w:style w:type="character" w:customStyle="1" w:styleId="T438">
    <w:name w:val="T438"/>
    <w:rPr>
      <w:rFonts w:ascii="Wingdings" w:eastAsia="Wingdings" w:hAnsi="Wingdings" w:cs="Wingdings"/>
    </w:rPr>
  </w:style>
  <w:style w:type="character" w:customStyle="1" w:styleId="T439">
    <w:name w:val="T439"/>
    <w:rPr>
      <w:rFonts w:ascii="Symbol" w:eastAsia="Symbol" w:hAnsi="Symbol" w:cs="Symbol"/>
    </w:rPr>
  </w:style>
  <w:style w:type="character" w:customStyle="1" w:styleId="T440">
    <w:name w:val="T440"/>
    <w:rPr>
      <w:rFonts w:ascii="Courier New" w:eastAsia="Courier New" w:hAnsi="Courier New" w:cs="Courier New"/>
    </w:rPr>
  </w:style>
  <w:style w:type="character" w:customStyle="1" w:styleId="T441">
    <w:name w:val="T441"/>
    <w:rPr>
      <w:rFonts w:ascii="Wingdings" w:eastAsia="Wingdings" w:hAnsi="Wingdings" w:cs="Wingdings"/>
    </w:rPr>
  </w:style>
  <w:style w:type="character" w:customStyle="1" w:styleId="T442">
    <w:name w:val="T442"/>
  </w:style>
  <w:style w:type="character" w:customStyle="1" w:styleId="T443">
    <w:name w:val="T443"/>
  </w:style>
  <w:style w:type="character" w:customStyle="1" w:styleId="T444">
    <w:name w:val="T444"/>
  </w:style>
  <w:style w:type="character" w:customStyle="1" w:styleId="T445">
    <w:name w:val="T445"/>
  </w:style>
  <w:style w:type="character" w:customStyle="1" w:styleId="T446">
    <w:name w:val="T446"/>
  </w:style>
  <w:style w:type="character" w:customStyle="1" w:styleId="T447">
    <w:name w:val="T447"/>
  </w:style>
  <w:style w:type="character" w:customStyle="1" w:styleId="T448">
    <w:name w:val="T448"/>
  </w:style>
  <w:style w:type="character" w:customStyle="1" w:styleId="T449">
    <w:name w:val="T449"/>
  </w:style>
  <w:style w:type="character" w:customStyle="1" w:styleId="T450">
    <w:name w:val="T450"/>
  </w:style>
  <w:style w:type="character" w:customStyle="1" w:styleId="T451">
    <w:name w:val="T451"/>
  </w:style>
  <w:style w:type="character" w:customStyle="1" w:styleId="T452">
    <w:name w:val="T452"/>
  </w:style>
  <w:style w:type="character" w:customStyle="1" w:styleId="T453">
    <w:name w:val="T453"/>
  </w:style>
  <w:style w:type="character" w:customStyle="1" w:styleId="T454">
    <w:name w:val="T454"/>
  </w:style>
  <w:style w:type="character" w:customStyle="1" w:styleId="T455">
    <w:name w:val="T455"/>
  </w:style>
  <w:style w:type="character" w:customStyle="1" w:styleId="T456">
    <w:name w:val="T456"/>
  </w:style>
  <w:style w:type="character" w:customStyle="1" w:styleId="T457">
    <w:name w:val="T457"/>
  </w:style>
  <w:style w:type="character" w:customStyle="1" w:styleId="T458">
    <w:name w:val="T458"/>
  </w:style>
  <w:style w:type="character" w:customStyle="1" w:styleId="T459">
    <w:name w:val="T459"/>
  </w:style>
  <w:style w:type="character" w:customStyle="1" w:styleId="T460">
    <w:name w:val="T460"/>
    <w:rPr>
      <w:rFonts w:ascii="Courier New" w:eastAsia="Courier New" w:hAnsi="Courier New" w:cs="Courier New"/>
    </w:rPr>
  </w:style>
  <w:style w:type="character" w:customStyle="1" w:styleId="T461">
    <w:name w:val="T461"/>
    <w:rPr>
      <w:rFonts w:ascii="Courier New" w:eastAsia="Courier New" w:hAnsi="Courier New" w:cs="Courier New"/>
    </w:rPr>
  </w:style>
  <w:style w:type="character" w:customStyle="1" w:styleId="T462">
    <w:name w:val="T462"/>
    <w:rPr>
      <w:rFonts w:ascii="Wingdings" w:eastAsia="Wingdings" w:hAnsi="Wingdings" w:cs="Wingdings"/>
    </w:rPr>
  </w:style>
  <w:style w:type="character" w:customStyle="1" w:styleId="T463">
    <w:name w:val="T463"/>
    <w:rPr>
      <w:rFonts w:ascii="Symbol" w:eastAsia="Symbol" w:hAnsi="Symbol" w:cs="Symbol"/>
    </w:rPr>
  </w:style>
  <w:style w:type="character" w:customStyle="1" w:styleId="T464">
    <w:name w:val="T464"/>
    <w:rPr>
      <w:rFonts w:ascii="Courier New" w:eastAsia="Courier New" w:hAnsi="Courier New" w:cs="Courier New"/>
    </w:rPr>
  </w:style>
  <w:style w:type="character" w:customStyle="1" w:styleId="T465">
    <w:name w:val="T465"/>
    <w:rPr>
      <w:rFonts w:ascii="Wingdings" w:eastAsia="Wingdings" w:hAnsi="Wingdings" w:cs="Wingdings"/>
    </w:rPr>
  </w:style>
  <w:style w:type="character" w:customStyle="1" w:styleId="T466">
    <w:name w:val="T466"/>
    <w:rPr>
      <w:rFonts w:ascii="Symbol" w:eastAsia="Symbol" w:hAnsi="Symbol" w:cs="Symbol"/>
    </w:rPr>
  </w:style>
  <w:style w:type="character" w:customStyle="1" w:styleId="T467">
    <w:name w:val="T467"/>
    <w:rPr>
      <w:rFonts w:ascii="Courier New" w:eastAsia="Courier New" w:hAnsi="Courier New" w:cs="Courier New"/>
    </w:rPr>
  </w:style>
  <w:style w:type="character" w:customStyle="1" w:styleId="T468">
    <w:name w:val="T468"/>
    <w:rPr>
      <w:rFonts w:ascii="Wingdings" w:eastAsia="Wingdings" w:hAnsi="Wingdings" w:cs="Wingdings"/>
    </w:rPr>
  </w:style>
  <w:style w:type="character" w:customStyle="1" w:styleId="T469">
    <w:name w:val="T469"/>
    <w:rPr>
      <w:rFonts w:ascii="Courier New" w:eastAsia="Courier New" w:hAnsi="Courier New" w:cs="Courier New"/>
    </w:rPr>
  </w:style>
  <w:style w:type="character" w:customStyle="1" w:styleId="T470">
    <w:name w:val="T470"/>
    <w:rPr>
      <w:rFonts w:ascii="Courier New" w:eastAsia="Courier New" w:hAnsi="Courier New" w:cs="Courier New"/>
    </w:rPr>
  </w:style>
  <w:style w:type="character" w:customStyle="1" w:styleId="T471">
    <w:name w:val="T471"/>
    <w:rPr>
      <w:rFonts w:ascii="Wingdings" w:eastAsia="Wingdings" w:hAnsi="Wingdings" w:cs="Wingdings"/>
    </w:rPr>
  </w:style>
  <w:style w:type="character" w:customStyle="1" w:styleId="T472">
    <w:name w:val="T472"/>
    <w:rPr>
      <w:rFonts w:ascii="Symbol" w:eastAsia="Symbol" w:hAnsi="Symbol" w:cs="Symbol"/>
    </w:rPr>
  </w:style>
  <w:style w:type="character" w:customStyle="1" w:styleId="T473">
    <w:name w:val="T473"/>
    <w:rPr>
      <w:rFonts w:ascii="Courier New" w:eastAsia="Courier New" w:hAnsi="Courier New" w:cs="Courier New"/>
    </w:rPr>
  </w:style>
  <w:style w:type="character" w:customStyle="1" w:styleId="T474">
    <w:name w:val="T474"/>
    <w:rPr>
      <w:rFonts w:ascii="Wingdings" w:eastAsia="Wingdings" w:hAnsi="Wingdings" w:cs="Wingdings"/>
    </w:rPr>
  </w:style>
  <w:style w:type="character" w:customStyle="1" w:styleId="T475">
    <w:name w:val="T475"/>
    <w:rPr>
      <w:rFonts w:ascii="Symbol" w:eastAsia="Symbol" w:hAnsi="Symbol" w:cs="Symbol"/>
    </w:rPr>
  </w:style>
  <w:style w:type="character" w:customStyle="1" w:styleId="T476">
    <w:name w:val="T476"/>
    <w:rPr>
      <w:rFonts w:ascii="Courier New" w:eastAsia="Courier New" w:hAnsi="Courier New" w:cs="Courier New"/>
    </w:rPr>
  </w:style>
  <w:style w:type="character" w:customStyle="1" w:styleId="T477">
    <w:name w:val="T477"/>
    <w:rPr>
      <w:rFonts w:ascii="Wingdings" w:eastAsia="Wingdings" w:hAnsi="Wingdings" w:cs="Wingdings"/>
    </w:rPr>
  </w:style>
  <w:style w:type="character" w:customStyle="1" w:styleId="T478">
    <w:name w:val="T478"/>
  </w:style>
  <w:style w:type="character" w:customStyle="1" w:styleId="T479">
    <w:name w:val="T479"/>
  </w:style>
  <w:style w:type="character" w:customStyle="1" w:styleId="T480">
    <w:name w:val="T480"/>
  </w:style>
  <w:style w:type="character" w:customStyle="1" w:styleId="T481">
    <w:name w:val="T481"/>
  </w:style>
  <w:style w:type="character" w:customStyle="1" w:styleId="T482">
    <w:name w:val="T482"/>
  </w:style>
  <w:style w:type="character" w:customStyle="1" w:styleId="T483">
    <w:name w:val="T483"/>
  </w:style>
  <w:style w:type="character" w:customStyle="1" w:styleId="T484">
    <w:name w:val="T484"/>
  </w:style>
  <w:style w:type="character" w:customStyle="1" w:styleId="T485">
    <w:name w:val="T485"/>
  </w:style>
  <w:style w:type="character" w:customStyle="1" w:styleId="T486">
    <w:name w:val="T486"/>
  </w:style>
  <w:style w:type="character" w:customStyle="1" w:styleId="T487">
    <w:name w:val="T487"/>
    <w:rPr>
      <w:rFonts w:ascii="Arial" w:eastAsia="Arial" w:hAnsi="Arial" w:cs="Arial"/>
    </w:rPr>
  </w:style>
  <w:style w:type="character" w:customStyle="1" w:styleId="T488">
    <w:name w:val="T488"/>
    <w:rPr>
      <w:rFonts w:ascii="Courier New" w:eastAsia="Courier New" w:hAnsi="Courier New" w:cs="Courier New"/>
    </w:rPr>
  </w:style>
  <w:style w:type="character" w:customStyle="1" w:styleId="T489">
    <w:name w:val="T489"/>
    <w:rPr>
      <w:rFonts w:ascii="Wingdings" w:eastAsia="Wingdings" w:hAnsi="Wingdings" w:cs="Wingdings"/>
    </w:rPr>
  </w:style>
  <w:style w:type="character" w:customStyle="1" w:styleId="T490">
    <w:name w:val="T490"/>
    <w:rPr>
      <w:rFonts w:ascii="Symbol" w:eastAsia="Symbol" w:hAnsi="Symbol" w:cs="Symbol"/>
    </w:rPr>
  </w:style>
  <w:style w:type="character" w:customStyle="1" w:styleId="T491">
    <w:name w:val="T491"/>
    <w:rPr>
      <w:rFonts w:ascii="Courier New" w:eastAsia="Courier New" w:hAnsi="Courier New" w:cs="Courier New"/>
    </w:rPr>
  </w:style>
  <w:style w:type="character" w:customStyle="1" w:styleId="T492">
    <w:name w:val="T492"/>
    <w:rPr>
      <w:rFonts w:ascii="Wingdings" w:eastAsia="Wingdings" w:hAnsi="Wingdings" w:cs="Wingdings"/>
    </w:rPr>
  </w:style>
  <w:style w:type="character" w:customStyle="1" w:styleId="T493">
    <w:name w:val="T493"/>
    <w:rPr>
      <w:rFonts w:ascii="Symbol" w:eastAsia="Symbol" w:hAnsi="Symbol" w:cs="Symbol"/>
    </w:rPr>
  </w:style>
  <w:style w:type="character" w:customStyle="1" w:styleId="T494">
    <w:name w:val="T494"/>
    <w:rPr>
      <w:rFonts w:ascii="Courier New" w:eastAsia="Courier New" w:hAnsi="Courier New" w:cs="Courier New"/>
    </w:rPr>
  </w:style>
  <w:style w:type="character" w:customStyle="1" w:styleId="T495">
    <w:name w:val="T495"/>
    <w:rPr>
      <w:rFonts w:ascii="Wingdings" w:eastAsia="Wingdings" w:hAnsi="Wingdings" w:cs="Wingdings"/>
    </w:rPr>
  </w:style>
  <w:style w:type="character" w:customStyle="1" w:styleId="T496">
    <w:name w:val="T496"/>
  </w:style>
  <w:style w:type="character" w:customStyle="1" w:styleId="T497">
    <w:name w:val="T497"/>
  </w:style>
  <w:style w:type="character" w:customStyle="1" w:styleId="T498">
    <w:name w:val="T498"/>
  </w:style>
  <w:style w:type="character" w:customStyle="1" w:styleId="T499">
    <w:name w:val="T499"/>
  </w:style>
  <w:style w:type="character" w:customStyle="1" w:styleId="T500">
    <w:name w:val="T500"/>
  </w:style>
  <w:style w:type="character" w:customStyle="1" w:styleId="T501">
    <w:name w:val="T501"/>
  </w:style>
  <w:style w:type="character" w:customStyle="1" w:styleId="T502">
    <w:name w:val="T502"/>
  </w:style>
  <w:style w:type="character" w:customStyle="1" w:styleId="T503">
    <w:name w:val="T503"/>
  </w:style>
  <w:style w:type="character" w:customStyle="1" w:styleId="T504">
    <w:name w:val="T504"/>
  </w:style>
  <w:style w:type="character" w:customStyle="1" w:styleId="T505">
    <w:name w:val="T505"/>
    <w:rPr>
      <w:rFonts w:ascii="Symbol" w:eastAsia="Symbol" w:hAnsi="Symbol" w:cs="Symbol"/>
    </w:rPr>
  </w:style>
  <w:style w:type="character" w:customStyle="1" w:styleId="T506">
    <w:name w:val="T506"/>
    <w:rPr>
      <w:rFonts w:ascii="Courier New" w:eastAsia="Courier New" w:hAnsi="Courier New" w:cs="Courier New"/>
    </w:rPr>
  </w:style>
  <w:style w:type="character" w:customStyle="1" w:styleId="T507">
    <w:name w:val="T507"/>
    <w:rPr>
      <w:rFonts w:ascii="Wingdings" w:eastAsia="Wingdings" w:hAnsi="Wingdings" w:cs="Wingdings"/>
    </w:rPr>
  </w:style>
  <w:style w:type="character" w:customStyle="1" w:styleId="T508">
    <w:name w:val="T508"/>
    <w:rPr>
      <w:rFonts w:ascii="Symbol" w:eastAsia="Symbol" w:hAnsi="Symbol" w:cs="Symbol"/>
    </w:rPr>
  </w:style>
  <w:style w:type="character" w:customStyle="1" w:styleId="T509">
    <w:name w:val="T509"/>
    <w:rPr>
      <w:rFonts w:ascii="Courier New" w:eastAsia="Courier New" w:hAnsi="Courier New" w:cs="Courier New"/>
    </w:rPr>
  </w:style>
  <w:style w:type="character" w:customStyle="1" w:styleId="T510">
    <w:name w:val="T510"/>
    <w:rPr>
      <w:rFonts w:ascii="Wingdings" w:eastAsia="Wingdings" w:hAnsi="Wingdings" w:cs="Wingdings"/>
    </w:rPr>
  </w:style>
  <w:style w:type="character" w:customStyle="1" w:styleId="T511">
    <w:name w:val="T511"/>
    <w:rPr>
      <w:rFonts w:ascii="Symbol" w:eastAsia="Symbol" w:hAnsi="Symbol" w:cs="Symbol"/>
    </w:rPr>
  </w:style>
  <w:style w:type="character" w:customStyle="1" w:styleId="T512">
    <w:name w:val="T512"/>
    <w:rPr>
      <w:rFonts w:ascii="Courier New" w:eastAsia="Courier New" w:hAnsi="Courier New" w:cs="Courier New"/>
    </w:rPr>
  </w:style>
  <w:style w:type="character" w:customStyle="1" w:styleId="T513">
    <w:name w:val="T513"/>
    <w:rPr>
      <w:rFonts w:ascii="Wingdings" w:eastAsia="Wingdings" w:hAnsi="Wingdings" w:cs="Wingdings"/>
    </w:rPr>
  </w:style>
  <w:style w:type="character" w:customStyle="1" w:styleId="T514">
    <w:name w:val="T514"/>
    <w:rPr>
      <w:rFonts w:ascii="Courier New" w:eastAsia="Courier New" w:hAnsi="Courier New" w:cs="Courier New"/>
    </w:rPr>
  </w:style>
  <w:style w:type="character" w:customStyle="1" w:styleId="T515">
    <w:name w:val="T515"/>
    <w:rPr>
      <w:rFonts w:ascii="Courier New" w:eastAsia="Courier New" w:hAnsi="Courier New" w:cs="Courier New"/>
    </w:rPr>
  </w:style>
  <w:style w:type="character" w:customStyle="1" w:styleId="T516">
    <w:name w:val="T516"/>
    <w:rPr>
      <w:rFonts w:ascii="Wingdings" w:eastAsia="Wingdings" w:hAnsi="Wingdings" w:cs="Wingdings"/>
    </w:rPr>
  </w:style>
  <w:style w:type="character" w:customStyle="1" w:styleId="T517">
    <w:name w:val="T517"/>
    <w:rPr>
      <w:rFonts w:ascii="Symbol" w:eastAsia="Symbol" w:hAnsi="Symbol" w:cs="Symbol"/>
    </w:rPr>
  </w:style>
  <w:style w:type="character" w:customStyle="1" w:styleId="T518">
    <w:name w:val="T518"/>
    <w:rPr>
      <w:rFonts w:ascii="Courier New" w:eastAsia="Courier New" w:hAnsi="Courier New" w:cs="Courier New"/>
    </w:rPr>
  </w:style>
  <w:style w:type="character" w:customStyle="1" w:styleId="T519">
    <w:name w:val="T519"/>
    <w:rPr>
      <w:rFonts w:ascii="Wingdings" w:eastAsia="Wingdings" w:hAnsi="Wingdings" w:cs="Wingdings"/>
    </w:rPr>
  </w:style>
  <w:style w:type="character" w:customStyle="1" w:styleId="T520">
    <w:name w:val="T520"/>
    <w:rPr>
      <w:rFonts w:ascii="Symbol" w:eastAsia="Symbol" w:hAnsi="Symbol" w:cs="Symbol"/>
    </w:rPr>
  </w:style>
  <w:style w:type="character" w:customStyle="1" w:styleId="T521">
    <w:name w:val="T521"/>
    <w:rPr>
      <w:rFonts w:ascii="Courier New" w:eastAsia="Courier New" w:hAnsi="Courier New" w:cs="Courier New"/>
    </w:rPr>
  </w:style>
  <w:style w:type="character" w:customStyle="1" w:styleId="T522">
    <w:name w:val="T522"/>
    <w:rPr>
      <w:rFonts w:ascii="Wingdings" w:eastAsia="Wingdings" w:hAnsi="Wingdings" w:cs="Wingdings"/>
    </w:rPr>
  </w:style>
  <w:style w:type="character" w:customStyle="1" w:styleId="T523">
    <w:name w:val="T523"/>
    <w:rPr>
      <w:rFonts w:ascii="Symbol" w:eastAsia="Symbol" w:hAnsi="Symbol" w:cs="Symbol"/>
    </w:rPr>
  </w:style>
  <w:style w:type="character" w:customStyle="1" w:styleId="T524">
    <w:name w:val="T524"/>
    <w:rPr>
      <w:rFonts w:ascii="Courier New" w:eastAsia="Courier New" w:hAnsi="Courier New" w:cs="Courier New"/>
    </w:rPr>
  </w:style>
  <w:style w:type="character" w:customStyle="1" w:styleId="T525">
    <w:name w:val="T525"/>
    <w:rPr>
      <w:rFonts w:ascii="Wingdings" w:eastAsia="Wingdings" w:hAnsi="Wingdings" w:cs="Wingdings"/>
    </w:rPr>
  </w:style>
  <w:style w:type="character" w:customStyle="1" w:styleId="T526">
    <w:name w:val="T526"/>
    <w:rPr>
      <w:rFonts w:ascii="Symbol" w:eastAsia="Symbol" w:hAnsi="Symbol" w:cs="Symbol"/>
    </w:rPr>
  </w:style>
  <w:style w:type="character" w:customStyle="1" w:styleId="T527">
    <w:name w:val="T527"/>
    <w:rPr>
      <w:rFonts w:ascii="Courier New" w:eastAsia="Courier New" w:hAnsi="Courier New" w:cs="Courier New"/>
    </w:rPr>
  </w:style>
  <w:style w:type="character" w:customStyle="1" w:styleId="T528">
    <w:name w:val="T528"/>
    <w:rPr>
      <w:rFonts w:ascii="Wingdings" w:eastAsia="Wingdings" w:hAnsi="Wingdings" w:cs="Wingdings"/>
    </w:rPr>
  </w:style>
  <w:style w:type="character" w:customStyle="1" w:styleId="T529">
    <w:name w:val="T529"/>
    <w:rPr>
      <w:rFonts w:ascii="Symbol" w:eastAsia="Symbol" w:hAnsi="Symbol" w:cs="Symbol"/>
    </w:rPr>
  </w:style>
  <w:style w:type="character" w:customStyle="1" w:styleId="T530">
    <w:name w:val="T530"/>
    <w:rPr>
      <w:rFonts w:ascii="Courier New" w:eastAsia="Courier New" w:hAnsi="Courier New" w:cs="Courier New"/>
    </w:rPr>
  </w:style>
  <w:style w:type="character" w:customStyle="1" w:styleId="T531">
    <w:name w:val="T531"/>
    <w:rPr>
      <w:rFonts w:ascii="Wingdings" w:eastAsia="Wingdings" w:hAnsi="Wingdings" w:cs="Wingdings"/>
    </w:rPr>
  </w:style>
  <w:style w:type="character" w:customStyle="1" w:styleId="T532">
    <w:name w:val="T532"/>
    <w:rPr>
      <w:rFonts w:ascii="Courier New" w:eastAsia="Courier New" w:hAnsi="Courier New" w:cs="Courier New"/>
    </w:rPr>
  </w:style>
  <w:style w:type="character" w:customStyle="1" w:styleId="T533">
    <w:name w:val="T533"/>
    <w:rPr>
      <w:rFonts w:ascii="Courier New" w:eastAsia="Courier New" w:hAnsi="Courier New" w:cs="Courier New"/>
    </w:rPr>
  </w:style>
  <w:style w:type="character" w:customStyle="1" w:styleId="T534">
    <w:name w:val="T534"/>
    <w:rPr>
      <w:rFonts w:ascii="Wingdings" w:eastAsia="Wingdings" w:hAnsi="Wingdings" w:cs="Wingdings"/>
    </w:rPr>
  </w:style>
  <w:style w:type="character" w:customStyle="1" w:styleId="T535">
    <w:name w:val="T535"/>
    <w:rPr>
      <w:rFonts w:ascii="Symbol" w:eastAsia="Symbol" w:hAnsi="Symbol" w:cs="Symbol"/>
    </w:rPr>
  </w:style>
  <w:style w:type="character" w:customStyle="1" w:styleId="T536">
    <w:name w:val="T536"/>
    <w:rPr>
      <w:rFonts w:ascii="Courier New" w:eastAsia="Courier New" w:hAnsi="Courier New" w:cs="Courier New"/>
    </w:rPr>
  </w:style>
  <w:style w:type="character" w:customStyle="1" w:styleId="T537">
    <w:name w:val="T537"/>
    <w:rPr>
      <w:rFonts w:ascii="Wingdings" w:eastAsia="Wingdings" w:hAnsi="Wingdings" w:cs="Wingdings"/>
    </w:rPr>
  </w:style>
  <w:style w:type="character" w:customStyle="1" w:styleId="T538">
    <w:name w:val="T538"/>
    <w:rPr>
      <w:rFonts w:ascii="Symbol" w:eastAsia="Symbol" w:hAnsi="Symbol" w:cs="Symbol"/>
    </w:rPr>
  </w:style>
  <w:style w:type="character" w:customStyle="1" w:styleId="T539">
    <w:name w:val="T539"/>
    <w:rPr>
      <w:rFonts w:ascii="Courier New" w:eastAsia="Courier New" w:hAnsi="Courier New" w:cs="Courier New"/>
    </w:rPr>
  </w:style>
  <w:style w:type="character" w:customStyle="1" w:styleId="T540">
    <w:name w:val="T540"/>
    <w:rPr>
      <w:rFonts w:ascii="Wingdings" w:eastAsia="Wingdings" w:hAnsi="Wingdings" w:cs="Wingdings"/>
    </w:rPr>
  </w:style>
  <w:style w:type="character" w:customStyle="1" w:styleId="T541">
    <w:name w:val="T541"/>
    <w:rPr>
      <w:rFonts w:ascii="Wingdings" w:eastAsia="Wingdings" w:hAnsi="Wingdings" w:cs="Wingdings"/>
    </w:rPr>
  </w:style>
  <w:style w:type="character" w:customStyle="1" w:styleId="T542">
    <w:name w:val="T542"/>
    <w:rPr>
      <w:rFonts w:ascii="Courier New" w:eastAsia="Courier New" w:hAnsi="Courier New" w:cs="Courier New"/>
    </w:rPr>
  </w:style>
  <w:style w:type="character" w:customStyle="1" w:styleId="T543">
    <w:name w:val="T543"/>
    <w:rPr>
      <w:rFonts w:ascii="Wingdings" w:eastAsia="Wingdings" w:hAnsi="Wingdings" w:cs="Wingdings"/>
    </w:rPr>
  </w:style>
  <w:style w:type="character" w:customStyle="1" w:styleId="T544">
    <w:name w:val="T544"/>
    <w:rPr>
      <w:rFonts w:ascii="Symbol" w:eastAsia="Symbol" w:hAnsi="Symbol" w:cs="Symbol"/>
    </w:rPr>
  </w:style>
  <w:style w:type="character" w:customStyle="1" w:styleId="T545">
    <w:name w:val="T545"/>
    <w:rPr>
      <w:rFonts w:ascii="Courier New" w:eastAsia="Courier New" w:hAnsi="Courier New" w:cs="Courier New"/>
    </w:rPr>
  </w:style>
  <w:style w:type="character" w:customStyle="1" w:styleId="T546">
    <w:name w:val="T546"/>
    <w:rPr>
      <w:rFonts w:ascii="Wingdings" w:eastAsia="Wingdings" w:hAnsi="Wingdings" w:cs="Wingdings"/>
    </w:rPr>
  </w:style>
  <w:style w:type="character" w:customStyle="1" w:styleId="T547">
    <w:name w:val="T547"/>
    <w:rPr>
      <w:rFonts w:ascii="Symbol" w:eastAsia="Symbol" w:hAnsi="Symbol" w:cs="Symbol"/>
    </w:rPr>
  </w:style>
  <w:style w:type="character" w:customStyle="1" w:styleId="T548">
    <w:name w:val="T548"/>
    <w:rPr>
      <w:rFonts w:ascii="Courier New" w:eastAsia="Courier New" w:hAnsi="Courier New" w:cs="Courier New"/>
    </w:rPr>
  </w:style>
  <w:style w:type="character" w:customStyle="1" w:styleId="T549">
    <w:name w:val="T549"/>
    <w:rPr>
      <w:rFonts w:ascii="Wingdings" w:eastAsia="Wingdings" w:hAnsi="Wingdings" w:cs="Wingdings"/>
    </w:rPr>
  </w:style>
  <w:style w:type="character" w:customStyle="1" w:styleId="T550">
    <w:name w:val="T550"/>
    <w:rPr>
      <w:rFonts w:ascii="Symbol" w:eastAsia="Symbol" w:hAnsi="Symbol" w:cs="Symbol"/>
    </w:rPr>
  </w:style>
  <w:style w:type="character" w:customStyle="1" w:styleId="T551">
    <w:name w:val="T551"/>
    <w:rPr>
      <w:rFonts w:ascii="Courier New" w:eastAsia="Courier New" w:hAnsi="Courier New" w:cs="Courier New"/>
    </w:rPr>
  </w:style>
  <w:style w:type="character" w:customStyle="1" w:styleId="T552">
    <w:name w:val="T552"/>
    <w:rPr>
      <w:rFonts w:ascii="Wingdings" w:eastAsia="Wingdings" w:hAnsi="Wingdings" w:cs="Wingdings"/>
    </w:rPr>
  </w:style>
  <w:style w:type="character" w:customStyle="1" w:styleId="T553">
    <w:name w:val="T553"/>
    <w:rPr>
      <w:rFonts w:ascii="Symbol" w:eastAsia="Symbol" w:hAnsi="Symbol" w:cs="Symbol"/>
    </w:rPr>
  </w:style>
  <w:style w:type="character" w:customStyle="1" w:styleId="T554">
    <w:name w:val="T554"/>
    <w:rPr>
      <w:rFonts w:ascii="Courier New" w:eastAsia="Courier New" w:hAnsi="Courier New" w:cs="Courier New"/>
    </w:rPr>
  </w:style>
  <w:style w:type="character" w:customStyle="1" w:styleId="T555">
    <w:name w:val="T555"/>
    <w:rPr>
      <w:rFonts w:ascii="Wingdings" w:eastAsia="Wingdings" w:hAnsi="Wingdings" w:cs="Wingdings"/>
    </w:rPr>
  </w:style>
  <w:style w:type="character" w:customStyle="1" w:styleId="T556">
    <w:name w:val="T556"/>
    <w:rPr>
      <w:rFonts w:ascii="Symbol" w:eastAsia="Symbol" w:hAnsi="Symbol" w:cs="Symbol"/>
    </w:rPr>
  </w:style>
  <w:style w:type="character" w:customStyle="1" w:styleId="T557">
    <w:name w:val="T557"/>
    <w:rPr>
      <w:rFonts w:ascii="Courier New" w:eastAsia="Courier New" w:hAnsi="Courier New" w:cs="Courier New"/>
    </w:rPr>
  </w:style>
  <w:style w:type="character" w:customStyle="1" w:styleId="T558">
    <w:name w:val="T558"/>
    <w:rPr>
      <w:rFonts w:ascii="Wingdings" w:eastAsia="Wingdings" w:hAnsi="Wingdings" w:cs="Wingdings"/>
    </w:rPr>
  </w:style>
  <w:style w:type="character" w:customStyle="1" w:styleId="T559">
    <w:name w:val="T559"/>
    <w:rPr>
      <w:rFonts w:ascii="Symbol" w:eastAsia="Symbol" w:hAnsi="Symbol" w:cs="Symbol"/>
    </w:rPr>
  </w:style>
  <w:style w:type="character" w:customStyle="1" w:styleId="T560">
    <w:name w:val="T560"/>
    <w:rPr>
      <w:rFonts w:ascii="Courier New" w:eastAsia="Courier New" w:hAnsi="Courier New" w:cs="Courier New"/>
    </w:rPr>
  </w:style>
  <w:style w:type="character" w:customStyle="1" w:styleId="T561">
    <w:name w:val="T561"/>
    <w:rPr>
      <w:rFonts w:ascii="Wingdings" w:eastAsia="Wingdings" w:hAnsi="Wingdings" w:cs="Wingdings"/>
    </w:rPr>
  </w:style>
  <w:style w:type="character" w:customStyle="1" w:styleId="T562">
    <w:name w:val="T562"/>
    <w:rPr>
      <w:rFonts w:ascii="Symbol" w:eastAsia="Symbol" w:hAnsi="Symbol" w:cs="Symbol"/>
    </w:rPr>
  </w:style>
  <w:style w:type="character" w:customStyle="1" w:styleId="T563">
    <w:name w:val="T563"/>
    <w:rPr>
      <w:rFonts w:ascii="Courier New" w:eastAsia="Courier New" w:hAnsi="Courier New" w:cs="Courier New"/>
    </w:rPr>
  </w:style>
  <w:style w:type="character" w:customStyle="1" w:styleId="T564">
    <w:name w:val="T564"/>
    <w:rPr>
      <w:rFonts w:ascii="Wingdings" w:eastAsia="Wingdings" w:hAnsi="Wingdings" w:cs="Wingdings"/>
    </w:rPr>
  </w:style>
  <w:style w:type="character" w:customStyle="1" w:styleId="T565">
    <w:name w:val="T565"/>
    <w:rPr>
      <w:rFonts w:ascii="Symbol" w:eastAsia="Symbol" w:hAnsi="Symbol" w:cs="Symbol"/>
    </w:rPr>
  </w:style>
  <w:style w:type="character" w:customStyle="1" w:styleId="T566">
    <w:name w:val="T566"/>
    <w:rPr>
      <w:rFonts w:ascii="Courier New" w:eastAsia="Courier New" w:hAnsi="Courier New" w:cs="Courier New"/>
    </w:rPr>
  </w:style>
  <w:style w:type="character" w:customStyle="1" w:styleId="T567">
    <w:name w:val="T567"/>
    <w:rPr>
      <w:rFonts w:ascii="Wingdings" w:eastAsia="Wingdings" w:hAnsi="Wingdings" w:cs="Wingdings"/>
    </w:rPr>
  </w:style>
  <w:style w:type="character" w:customStyle="1" w:styleId="T568">
    <w:name w:val="T568"/>
    <w:rPr>
      <w:rFonts w:ascii="Symbol" w:eastAsia="Symbol" w:hAnsi="Symbol" w:cs="Symbol"/>
    </w:rPr>
  </w:style>
  <w:style w:type="character" w:customStyle="1" w:styleId="T569">
    <w:name w:val="T569"/>
    <w:rPr>
      <w:rFonts w:ascii="Courier New" w:eastAsia="Courier New" w:hAnsi="Courier New" w:cs="Courier New"/>
    </w:rPr>
  </w:style>
  <w:style w:type="character" w:customStyle="1" w:styleId="T570">
    <w:name w:val="T570"/>
    <w:rPr>
      <w:rFonts w:ascii="Wingdings" w:eastAsia="Wingdings" w:hAnsi="Wingdings" w:cs="Wingdings"/>
    </w:rPr>
  </w:style>
  <w:style w:type="character" w:customStyle="1" w:styleId="T571">
    <w:name w:val="T571"/>
    <w:rPr>
      <w:rFonts w:ascii="Symbol" w:eastAsia="Symbol" w:hAnsi="Symbol" w:cs="Symbol"/>
    </w:rPr>
  </w:style>
  <w:style w:type="character" w:customStyle="1" w:styleId="T572">
    <w:name w:val="T572"/>
    <w:rPr>
      <w:rFonts w:ascii="Courier New" w:eastAsia="Courier New" w:hAnsi="Courier New" w:cs="Courier New"/>
    </w:rPr>
  </w:style>
  <w:style w:type="character" w:customStyle="1" w:styleId="T573">
    <w:name w:val="T573"/>
    <w:rPr>
      <w:rFonts w:ascii="Wingdings" w:eastAsia="Wingdings" w:hAnsi="Wingdings" w:cs="Wingdings"/>
    </w:rPr>
  </w:style>
  <w:style w:type="character" w:customStyle="1" w:styleId="T574">
    <w:name w:val="T574"/>
    <w:rPr>
      <w:rFonts w:ascii="Symbol" w:eastAsia="Symbol" w:hAnsi="Symbol" w:cs="Symbol"/>
    </w:rPr>
  </w:style>
  <w:style w:type="character" w:customStyle="1" w:styleId="T575">
    <w:name w:val="T575"/>
    <w:rPr>
      <w:rFonts w:ascii="Courier New" w:eastAsia="Courier New" w:hAnsi="Courier New" w:cs="Courier New"/>
    </w:rPr>
  </w:style>
  <w:style w:type="character" w:customStyle="1" w:styleId="T576">
    <w:name w:val="T576"/>
    <w:rPr>
      <w:rFonts w:ascii="Wingdings" w:eastAsia="Wingdings" w:hAnsi="Wingdings" w:cs="Wingdings"/>
    </w:rPr>
  </w:style>
  <w:style w:type="character" w:customStyle="1" w:styleId="T577">
    <w:name w:val="T577"/>
    <w:rPr>
      <w:rFonts w:ascii="Symbol" w:eastAsia="Symbol" w:hAnsi="Symbol" w:cs="Symbol"/>
    </w:rPr>
  </w:style>
  <w:style w:type="character" w:customStyle="1" w:styleId="T578">
    <w:name w:val="T578"/>
    <w:rPr>
      <w:rFonts w:ascii="Courier New" w:eastAsia="Courier New" w:hAnsi="Courier New" w:cs="Courier New"/>
    </w:rPr>
  </w:style>
  <w:style w:type="character" w:customStyle="1" w:styleId="T579">
    <w:name w:val="T579"/>
    <w:rPr>
      <w:rFonts w:ascii="Wingdings" w:eastAsia="Wingdings" w:hAnsi="Wingdings" w:cs="Wingdings"/>
    </w:rPr>
  </w:style>
  <w:style w:type="character" w:customStyle="1" w:styleId="T580">
    <w:name w:val="T580"/>
    <w:rPr>
      <w:rFonts w:ascii="Symbol" w:eastAsia="Symbol" w:hAnsi="Symbol" w:cs="Symbol"/>
    </w:rPr>
  </w:style>
  <w:style w:type="character" w:customStyle="1" w:styleId="T581">
    <w:name w:val="T581"/>
    <w:rPr>
      <w:rFonts w:ascii="Courier New" w:eastAsia="Courier New" w:hAnsi="Courier New" w:cs="Courier New"/>
    </w:rPr>
  </w:style>
  <w:style w:type="character" w:customStyle="1" w:styleId="T582">
    <w:name w:val="T582"/>
    <w:rPr>
      <w:rFonts w:ascii="Wingdings" w:eastAsia="Wingdings" w:hAnsi="Wingdings" w:cs="Wingdings"/>
    </w:rPr>
  </w:style>
  <w:style w:type="character" w:customStyle="1" w:styleId="T583">
    <w:name w:val="T583"/>
    <w:rPr>
      <w:rFonts w:ascii="Symbol" w:eastAsia="Symbol" w:hAnsi="Symbol" w:cs="Symbol"/>
    </w:rPr>
  </w:style>
  <w:style w:type="character" w:customStyle="1" w:styleId="T584">
    <w:name w:val="T584"/>
    <w:rPr>
      <w:rFonts w:ascii="Courier New" w:eastAsia="Courier New" w:hAnsi="Courier New" w:cs="Courier New"/>
    </w:rPr>
  </w:style>
  <w:style w:type="character" w:customStyle="1" w:styleId="T585">
    <w:name w:val="T585"/>
    <w:rPr>
      <w:rFonts w:ascii="Wingdings" w:eastAsia="Wingdings" w:hAnsi="Wingdings" w:cs="Wingdings"/>
    </w:rPr>
  </w:style>
  <w:style w:type="character" w:customStyle="1" w:styleId="T586">
    <w:name w:val="T586"/>
    <w:rPr>
      <w:rFonts w:ascii="Wingdings" w:eastAsia="Wingdings" w:hAnsi="Wingdings" w:cs="Wingdings"/>
    </w:rPr>
  </w:style>
  <w:style w:type="character" w:customStyle="1" w:styleId="T587">
    <w:name w:val="T587"/>
    <w:rPr>
      <w:rFonts w:ascii="Courier New" w:eastAsia="Courier New" w:hAnsi="Courier New" w:cs="Courier New"/>
    </w:rPr>
  </w:style>
  <w:style w:type="character" w:customStyle="1" w:styleId="T588">
    <w:name w:val="T588"/>
    <w:rPr>
      <w:rFonts w:ascii="Wingdings" w:eastAsia="Wingdings" w:hAnsi="Wingdings" w:cs="Wingdings"/>
    </w:rPr>
  </w:style>
  <w:style w:type="character" w:customStyle="1" w:styleId="T589">
    <w:name w:val="T589"/>
    <w:rPr>
      <w:rFonts w:ascii="Symbol" w:eastAsia="Symbol" w:hAnsi="Symbol" w:cs="Symbol"/>
    </w:rPr>
  </w:style>
  <w:style w:type="character" w:customStyle="1" w:styleId="T590">
    <w:name w:val="T590"/>
    <w:rPr>
      <w:rFonts w:ascii="Courier New" w:eastAsia="Courier New" w:hAnsi="Courier New" w:cs="Courier New"/>
    </w:rPr>
  </w:style>
  <w:style w:type="character" w:customStyle="1" w:styleId="T591">
    <w:name w:val="T591"/>
    <w:rPr>
      <w:rFonts w:ascii="Wingdings" w:eastAsia="Wingdings" w:hAnsi="Wingdings" w:cs="Wingdings"/>
    </w:rPr>
  </w:style>
  <w:style w:type="character" w:customStyle="1" w:styleId="T592">
    <w:name w:val="T592"/>
    <w:rPr>
      <w:rFonts w:ascii="Symbol" w:eastAsia="Symbol" w:hAnsi="Symbol" w:cs="Symbol"/>
    </w:rPr>
  </w:style>
  <w:style w:type="character" w:customStyle="1" w:styleId="T593">
    <w:name w:val="T593"/>
    <w:rPr>
      <w:rFonts w:ascii="Courier New" w:eastAsia="Courier New" w:hAnsi="Courier New" w:cs="Courier New"/>
    </w:rPr>
  </w:style>
  <w:style w:type="character" w:customStyle="1" w:styleId="T594">
    <w:name w:val="T594"/>
    <w:rPr>
      <w:rFonts w:ascii="Wingdings" w:eastAsia="Wingdings" w:hAnsi="Wingdings" w:cs="Wingdings"/>
    </w:rPr>
  </w:style>
  <w:style w:type="character" w:customStyle="1" w:styleId="T595">
    <w:name w:val="T595"/>
    <w:rPr>
      <w:rFonts w:ascii="Courier New" w:eastAsia="Courier New" w:hAnsi="Courier New" w:cs="Courier New"/>
    </w:rPr>
  </w:style>
  <w:style w:type="character" w:customStyle="1" w:styleId="T596">
    <w:name w:val="T596"/>
    <w:rPr>
      <w:rFonts w:ascii="Courier New" w:eastAsia="Courier New" w:hAnsi="Courier New" w:cs="Courier New"/>
    </w:rPr>
  </w:style>
  <w:style w:type="character" w:customStyle="1" w:styleId="T597">
    <w:name w:val="T597"/>
    <w:rPr>
      <w:rFonts w:ascii="Wingdings" w:eastAsia="Wingdings" w:hAnsi="Wingdings" w:cs="Wingdings"/>
    </w:rPr>
  </w:style>
  <w:style w:type="character" w:customStyle="1" w:styleId="T598">
    <w:name w:val="T598"/>
    <w:rPr>
      <w:rFonts w:ascii="Symbol" w:eastAsia="Symbol" w:hAnsi="Symbol" w:cs="Symbol"/>
    </w:rPr>
  </w:style>
  <w:style w:type="character" w:customStyle="1" w:styleId="T599">
    <w:name w:val="T599"/>
    <w:rPr>
      <w:rFonts w:ascii="Courier New" w:eastAsia="Courier New" w:hAnsi="Courier New" w:cs="Courier New"/>
    </w:rPr>
  </w:style>
  <w:style w:type="character" w:customStyle="1" w:styleId="T600">
    <w:name w:val="T600"/>
    <w:rPr>
      <w:rFonts w:ascii="Wingdings" w:eastAsia="Wingdings" w:hAnsi="Wingdings" w:cs="Wingdings"/>
    </w:rPr>
  </w:style>
  <w:style w:type="character" w:customStyle="1" w:styleId="T601">
    <w:name w:val="T601"/>
    <w:rPr>
      <w:rFonts w:ascii="Symbol" w:eastAsia="Symbol" w:hAnsi="Symbol" w:cs="Symbol"/>
    </w:rPr>
  </w:style>
  <w:style w:type="character" w:customStyle="1" w:styleId="T602">
    <w:name w:val="T602"/>
    <w:rPr>
      <w:rFonts w:ascii="Courier New" w:eastAsia="Courier New" w:hAnsi="Courier New" w:cs="Courier New"/>
    </w:rPr>
  </w:style>
  <w:style w:type="character" w:customStyle="1" w:styleId="T603">
    <w:name w:val="T603"/>
    <w:rPr>
      <w:rFonts w:ascii="Wingdings" w:eastAsia="Wingdings" w:hAnsi="Wingdings" w:cs="Wingdings"/>
    </w:rPr>
  </w:style>
  <w:style w:type="character" w:customStyle="1" w:styleId="T604">
    <w:name w:val="T604"/>
    <w:rPr>
      <w:rFonts w:ascii="Wingdings" w:eastAsia="Wingdings" w:hAnsi="Wingdings" w:cs="Wingdings"/>
    </w:rPr>
  </w:style>
  <w:style w:type="character" w:customStyle="1" w:styleId="T605">
    <w:name w:val="T605"/>
    <w:rPr>
      <w:rFonts w:ascii="Courier New" w:eastAsia="Courier New" w:hAnsi="Courier New" w:cs="Courier New"/>
    </w:rPr>
  </w:style>
  <w:style w:type="character" w:customStyle="1" w:styleId="T606">
    <w:name w:val="T606"/>
    <w:rPr>
      <w:rFonts w:ascii="Wingdings" w:eastAsia="Wingdings" w:hAnsi="Wingdings" w:cs="Wingdings"/>
    </w:rPr>
  </w:style>
  <w:style w:type="character" w:customStyle="1" w:styleId="T607">
    <w:name w:val="T607"/>
    <w:rPr>
      <w:rFonts w:ascii="Symbol" w:eastAsia="Symbol" w:hAnsi="Symbol" w:cs="Symbol"/>
    </w:rPr>
  </w:style>
  <w:style w:type="character" w:customStyle="1" w:styleId="T608">
    <w:name w:val="T608"/>
    <w:rPr>
      <w:rFonts w:ascii="Courier New" w:eastAsia="Courier New" w:hAnsi="Courier New" w:cs="Courier New"/>
    </w:rPr>
  </w:style>
  <w:style w:type="character" w:customStyle="1" w:styleId="T609">
    <w:name w:val="T609"/>
    <w:rPr>
      <w:rFonts w:ascii="Wingdings" w:eastAsia="Wingdings" w:hAnsi="Wingdings" w:cs="Wingdings"/>
    </w:rPr>
  </w:style>
  <w:style w:type="character" w:customStyle="1" w:styleId="T610">
    <w:name w:val="T610"/>
    <w:rPr>
      <w:rFonts w:ascii="Symbol" w:eastAsia="Symbol" w:hAnsi="Symbol" w:cs="Symbol"/>
    </w:rPr>
  </w:style>
  <w:style w:type="character" w:customStyle="1" w:styleId="T611">
    <w:name w:val="T611"/>
    <w:rPr>
      <w:rFonts w:ascii="Courier New" w:eastAsia="Courier New" w:hAnsi="Courier New" w:cs="Courier New"/>
    </w:rPr>
  </w:style>
  <w:style w:type="character" w:customStyle="1" w:styleId="T612">
    <w:name w:val="T612"/>
    <w:rPr>
      <w:rFonts w:ascii="Wingdings" w:eastAsia="Wingdings" w:hAnsi="Wingdings" w:cs="Wingdings"/>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numbering" w:customStyle="1" w:styleId="WWNum8">
    <w:name w:val="WWNum8"/>
    <w:basedOn w:val="Aucuneliste"/>
    <w:pPr>
      <w:numPr>
        <w:numId w:val="8"/>
      </w:numPr>
    </w:pPr>
  </w:style>
  <w:style w:type="numbering" w:customStyle="1" w:styleId="WWNum9">
    <w:name w:val="WWNum9"/>
    <w:basedOn w:val="Aucuneliste"/>
    <w:pPr>
      <w:numPr>
        <w:numId w:val="9"/>
      </w:numPr>
    </w:pPr>
  </w:style>
  <w:style w:type="numbering" w:customStyle="1" w:styleId="WWNum10">
    <w:name w:val="WWNum10"/>
    <w:basedOn w:val="Aucuneliste"/>
    <w:pPr>
      <w:numPr>
        <w:numId w:val="10"/>
      </w:numPr>
    </w:pPr>
  </w:style>
  <w:style w:type="numbering" w:customStyle="1" w:styleId="WWNum11">
    <w:name w:val="WWNum11"/>
    <w:basedOn w:val="Aucuneliste"/>
    <w:pPr>
      <w:numPr>
        <w:numId w:val="11"/>
      </w:numPr>
    </w:pPr>
  </w:style>
  <w:style w:type="numbering" w:customStyle="1" w:styleId="WWNum12">
    <w:name w:val="WWNum12"/>
    <w:basedOn w:val="Aucuneliste"/>
    <w:pPr>
      <w:numPr>
        <w:numId w:val="12"/>
      </w:numPr>
    </w:pPr>
  </w:style>
  <w:style w:type="numbering" w:customStyle="1" w:styleId="WWNum13">
    <w:name w:val="WWNum13"/>
    <w:basedOn w:val="Aucuneliste"/>
    <w:pPr>
      <w:numPr>
        <w:numId w:val="13"/>
      </w:numPr>
    </w:pPr>
  </w:style>
  <w:style w:type="numbering" w:customStyle="1" w:styleId="WWNum14">
    <w:name w:val="WWNum14"/>
    <w:basedOn w:val="Aucuneliste"/>
    <w:pPr>
      <w:numPr>
        <w:numId w:val="14"/>
      </w:numPr>
    </w:pPr>
  </w:style>
  <w:style w:type="numbering" w:customStyle="1" w:styleId="WWNum15">
    <w:name w:val="WWNum15"/>
    <w:basedOn w:val="Aucuneliste"/>
    <w:pPr>
      <w:numPr>
        <w:numId w:val="15"/>
      </w:numPr>
    </w:pPr>
  </w:style>
  <w:style w:type="numbering" w:customStyle="1" w:styleId="WWNum16">
    <w:name w:val="WWNum16"/>
    <w:basedOn w:val="Aucuneliste"/>
    <w:pPr>
      <w:numPr>
        <w:numId w:val="16"/>
      </w:numPr>
    </w:pPr>
  </w:style>
  <w:style w:type="numbering" w:customStyle="1" w:styleId="WWNum17">
    <w:name w:val="WWNum17"/>
    <w:basedOn w:val="Aucuneliste"/>
    <w:pPr>
      <w:numPr>
        <w:numId w:val="17"/>
      </w:numPr>
    </w:pPr>
  </w:style>
  <w:style w:type="numbering" w:customStyle="1" w:styleId="WWNum18">
    <w:name w:val="WWNum18"/>
    <w:basedOn w:val="Aucuneliste"/>
    <w:pPr>
      <w:numPr>
        <w:numId w:val="18"/>
      </w:numPr>
    </w:pPr>
  </w:style>
  <w:style w:type="numbering" w:customStyle="1" w:styleId="WWNum19">
    <w:name w:val="WWNum19"/>
    <w:basedOn w:val="Aucuneliste"/>
    <w:pPr>
      <w:numPr>
        <w:numId w:val="19"/>
      </w:numPr>
    </w:pPr>
  </w:style>
  <w:style w:type="numbering" w:customStyle="1" w:styleId="WWNum20">
    <w:name w:val="WWNum20"/>
    <w:basedOn w:val="Aucuneliste"/>
    <w:pPr>
      <w:numPr>
        <w:numId w:val="20"/>
      </w:numPr>
    </w:pPr>
  </w:style>
  <w:style w:type="numbering" w:customStyle="1" w:styleId="WWNum21">
    <w:name w:val="WWNum21"/>
    <w:basedOn w:val="Aucuneliste"/>
    <w:pPr>
      <w:numPr>
        <w:numId w:val="21"/>
      </w:numPr>
    </w:pPr>
  </w:style>
  <w:style w:type="numbering" w:customStyle="1" w:styleId="WWNum22">
    <w:name w:val="WWNum22"/>
    <w:basedOn w:val="Aucuneliste"/>
    <w:pPr>
      <w:numPr>
        <w:numId w:val="22"/>
      </w:numPr>
    </w:pPr>
  </w:style>
  <w:style w:type="numbering" w:customStyle="1" w:styleId="WWNum23">
    <w:name w:val="WWNum23"/>
    <w:basedOn w:val="Aucuneliste"/>
    <w:pPr>
      <w:numPr>
        <w:numId w:val="23"/>
      </w:numPr>
    </w:pPr>
  </w:style>
  <w:style w:type="numbering" w:customStyle="1" w:styleId="WWNum24">
    <w:name w:val="WWNum24"/>
    <w:basedOn w:val="Aucuneliste"/>
    <w:pPr>
      <w:numPr>
        <w:numId w:val="24"/>
      </w:numPr>
    </w:pPr>
  </w:style>
  <w:style w:type="numbering" w:customStyle="1" w:styleId="WWNum25">
    <w:name w:val="WWNum25"/>
    <w:basedOn w:val="Aucuneliste"/>
    <w:pPr>
      <w:numPr>
        <w:numId w:val="25"/>
      </w:numPr>
    </w:pPr>
  </w:style>
  <w:style w:type="numbering" w:customStyle="1" w:styleId="WWNum26">
    <w:name w:val="WWNum26"/>
    <w:basedOn w:val="Aucuneliste"/>
    <w:pPr>
      <w:numPr>
        <w:numId w:val="26"/>
      </w:numPr>
    </w:pPr>
  </w:style>
  <w:style w:type="numbering" w:customStyle="1" w:styleId="WWNum27">
    <w:name w:val="WWNum27"/>
    <w:basedOn w:val="Aucuneliste"/>
    <w:pPr>
      <w:numPr>
        <w:numId w:val="27"/>
      </w:numPr>
    </w:pPr>
  </w:style>
  <w:style w:type="numbering" w:customStyle="1" w:styleId="WWNum28">
    <w:name w:val="WWNum28"/>
    <w:basedOn w:val="Aucuneliste"/>
    <w:pPr>
      <w:numPr>
        <w:numId w:val="28"/>
      </w:numPr>
    </w:pPr>
  </w:style>
  <w:style w:type="numbering" w:customStyle="1" w:styleId="WWNum29">
    <w:name w:val="WWNum29"/>
    <w:basedOn w:val="Aucuneliste"/>
    <w:pPr>
      <w:numPr>
        <w:numId w:val="29"/>
      </w:numPr>
    </w:pPr>
  </w:style>
  <w:style w:type="numbering" w:customStyle="1" w:styleId="WWNum30">
    <w:name w:val="WWNum30"/>
    <w:basedOn w:val="Aucuneliste"/>
    <w:pPr>
      <w:numPr>
        <w:numId w:val="30"/>
      </w:numPr>
    </w:pPr>
  </w:style>
  <w:style w:type="numbering" w:customStyle="1" w:styleId="WWNum31">
    <w:name w:val="WWNum31"/>
    <w:basedOn w:val="Aucuneliste"/>
    <w:pPr>
      <w:numPr>
        <w:numId w:val="31"/>
      </w:numPr>
    </w:pPr>
  </w:style>
  <w:style w:type="numbering" w:customStyle="1" w:styleId="WWNum32">
    <w:name w:val="WWNum32"/>
    <w:basedOn w:val="Aucuneliste"/>
    <w:pPr>
      <w:numPr>
        <w:numId w:val="32"/>
      </w:numPr>
    </w:pPr>
  </w:style>
  <w:style w:type="numbering" w:customStyle="1" w:styleId="WWNum33">
    <w:name w:val="WWNum33"/>
    <w:basedOn w:val="Aucuneliste"/>
    <w:pPr>
      <w:numPr>
        <w:numId w:val="33"/>
      </w:numPr>
    </w:pPr>
  </w:style>
  <w:style w:type="numbering" w:customStyle="1" w:styleId="WWNum34">
    <w:name w:val="WWNum34"/>
    <w:basedOn w:val="Aucuneliste"/>
    <w:pPr>
      <w:numPr>
        <w:numId w:val="34"/>
      </w:numPr>
    </w:pPr>
  </w:style>
  <w:style w:type="numbering" w:customStyle="1" w:styleId="WWNum35">
    <w:name w:val="WWNum35"/>
    <w:basedOn w:val="Aucuneliste"/>
    <w:pPr>
      <w:numPr>
        <w:numId w:val="35"/>
      </w:numPr>
    </w:pPr>
  </w:style>
  <w:style w:type="numbering" w:customStyle="1" w:styleId="WWNum36">
    <w:name w:val="WWNum36"/>
    <w:basedOn w:val="Aucuneliste"/>
    <w:pPr>
      <w:numPr>
        <w:numId w:val="36"/>
      </w:numPr>
    </w:pPr>
  </w:style>
  <w:style w:type="numbering" w:customStyle="1" w:styleId="WWNum37">
    <w:name w:val="WWNum37"/>
    <w:basedOn w:val="Aucuneliste"/>
    <w:pPr>
      <w:numPr>
        <w:numId w:val="37"/>
      </w:numPr>
    </w:pPr>
  </w:style>
  <w:style w:type="numbering" w:customStyle="1" w:styleId="WWNum38">
    <w:name w:val="WWNum38"/>
    <w:basedOn w:val="Aucuneliste"/>
    <w:pPr>
      <w:numPr>
        <w:numId w:val="38"/>
      </w:numPr>
    </w:pPr>
  </w:style>
  <w:style w:type="numbering" w:customStyle="1" w:styleId="WWNum39">
    <w:name w:val="WWNum39"/>
    <w:basedOn w:val="Aucuneliste"/>
    <w:pPr>
      <w:numPr>
        <w:numId w:val="39"/>
      </w:numPr>
    </w:pPr>
  </w:style>
  <w:style w:type="numbering" w:customStyle="1" w:styleId="WWNum40">
    <w:name w:val="WWNum40"/>
    <w:basedOn w:val="Aucuneliste"/>
    <w:pPr>
      <w:numPr>
        <w:numId w:val="40"/>
      </w:numPr>
    </w:pPr>
  </w:style>
  <w:style w:type="numbering" w:customStyle="1" w:styleId="WWNum41">
    <w:name w:val="WWNum41"/>
    <w:basedOn w:val="Aucuneliste"/>
    <w:pPr>
      <w:numPr>
        <w:numId w:val="41"/>
      </w:numPr>
    </w:pPr>
  </w:style>
  <w:style w:type="numbering" w:customStyle="1" w:styleId="WWNum42">
    <w:name w:val="WWNum42"/>
    <w:basedOn w:val="Aucuneliste"/>
    <w:pPr>
      <w:numPr>
        <w:numId w:val="42"/>
      </w:numPr>
    </w:pPr>
  </w:style>
  <w:style w:type="numbering" w:customStyle="1" w:styleId="WWNum43">
    <w:name w:val="WWNum43"/>
    <w:basedOn w:val="Aucuneliste"/>
    <w:pPr>
      <w:numPr>
        <w:numId w:val="43"/>
      </w:numPr>
    </w:pPr>
  </w:style>
  <w:style w:type="numbering" w:customStyle="1" w:styleId="WWNum44">
    <w:name w:val="WWNum44"/>
    <w:basedOn w:val="Aucuneliste"/>
    <w:pPr>
      <w:numPr>
        <w:numId w:val="44"/>
      </w:numPr>
    </w:pPr>
  </w:style>
  <w:style w:type="numbering" w:customStyle="1" w:styleId="WWNum45">
    <w:name w:val="WWNum45"/>
    <w:basedOn w:val="Aucuneliste"/>
    <w:pPr>
      <w:numPr>
        <w:numId w:val="45"/>
      </w:numPr>
    </w:pPr>
  </w:style>
  <w:style w:type="numbering" w:customStyle="1" w:styleId="WWNum46">
    <w:name w:val="WWNum46"/>
    <w:basedOn w:val="Aucuneliste"/>
    <w:pPr>
      <w:numPr>
        <w:numId w:val="46"/>
      </w:numPr>
    </w:pPr>
  </w:style>
  <w:style w:type="numbering" w:customStyle="1" w:styleId="WWNum47">
    <w:name w:val="WWNum47"/>
    <w:basedOn w:val="Aucuneliste"/>
    <w:pPr>
      <w:numPr>
        <w:numId w:val="47"/>
      </w:numPr>
    </w:pPr>
  </w:style>
  <w:style w:type="numbering" w:customStyle="1" w:styleId="WWNum48">
    <w:name w:val="WWNum48"/>
    <w:basedOn w:val="Aucuneliste"/>
    <w:pPr>
      <w:numPr>
        <w:numId w:val="48"/>
      </w:numPr>
    </w:pPr>
  </w:style>
  <w:style w:type="numbering" w:customStyle="1" w:styleId="WWNum49">
    <w:name w:val="WWNum49"/>
    <w:basedOn w:val="Aucuneliste"/>
    <w:pPr>
      <w:numPr>
        <w:numId w:val="49"/>
      </w:numPr>
    </w:pPr>
  </w:style>
  <w:style w:type="numbering" w:customStyle="1" w:styleId="WWNum50">
    <w:name w:val="WWNum50"/>
    <w:basedOn w:val="Aucuneliste"/>
    <w:pPr>
      <w:numPr>
        <w:numId w:val="50"/>
      </w:numPr>
    </w:pPr>
  </w:style>
  <w:style w:type="numbering" w:customStyle="1" w:styleId="WWNum51">
    <w:name w:val="WWNum51"/>
    <w:basedOn w:val="Aucuneliste"/>
    <w:pPr>
      <w:numPr>
        <w:numId w:val="51"/>
      </w:numPr>
    </w:pPr>
  </w:style>
  <w:style w:type="numbering" w:customStyle="1" w:styleId="WWNum52">
    <w:name w:val="WWNum52"/>
    <w:basedOn w:val="Aucuneliste"/>
    <w:pPr>
      <w:numPr>
        <w:numId w:val="52"/>
      </w:numPr>
    </w:pPr>
  </w:style>
  <w:style w:type="numbering" w:customStyle="1" w:styleId="WWNum53">
    <w:name w:val="WWNum53"/>
    <w:basedOn w:val="Aucuneliste"/>
    <w:pPr>
      <w:numPr>
        <w:numId w:val="53"/>
      </w:numPr>
    </w:pPr>
  </w:style>
  <w:style w:type="numbering" w:customStyle="1" w:styleId="WWNum54">
    <w:name w:val="WWNum54"/>
    <w:basedOn w:val="Aucuneliste"/>
    <w:pPr>
      <w:numPr>
        <w:numId w:val="54"/>
      </w:numPr>
    </w:pPr>
  </w:style>
  <w:style w:type="numbering" w:customStyle="1" w:styleId="WWNum55">
    <w:name w:val="WWNum55"/>
    <w:basedOn w:val="Aucuneliste"/>
    <w:pPr>
      <w:numPr>
        <w:numId w:val="55"/>
      </w:numPr>
    </w:pPr>
  </w:style>
  <w:style w:type="numbering" w:customStyle="1" w:styleId="WWNum56">
    <w:name w:val="WWNum56"/>
    <w:basedOn w:val="Aucuneliste"/>
    <w:pPr>
      <w:numPr>
        <w:numId w:val="56"/>
      </w:numPr>
    </w:pPr>
  </w:style>
  <w:style w:type="numbering" w:customStyle="1" w:styleId="WWNum57">
    <w:name w:val="WWNum57"/>
    <w:basedOn w:val="Aucuneliste"/>
    <w:pPr>
      <w:numPr>
        <w:numId w:val="57"/>
      </w:numPr>
    </w:pPr>
  </w:style>
  <w:style w:type="numbering" w:customStyle="1" w:styleId="WWNum58">
    <w:name w:val="WWNum58"/>
    <w:basedOn w:val="Aucuneliste"/>
    <w:pPr>
      <w:numPr>
        <w:numId w:val="58"/>
      </w:numPr>
    </w:pPr>
  </w:style>
  <w:style w:type="numbering" w:customStyle="1" w:styleId="WWNum59">
    <w:name w:val="WWNum59"/>
    <w:basedOn w:val="Aucuneliste"/>
    <w:pPr>
      <w:numPr>
        <w:numId w:val="59"/>
      </w:numPr>
    </w:pPr>
  </w:style>
  <w:style w:type="numbering" w:customStyle="1" w:styleId="WWNum60">
    <w:name w:val="WWNum60"/>
    <w:basedOn w:val="Aucuneliste"/>
    <w:pPr>
      <w:numPr>
        <w:numId w:val="60"/>
      </w:numPr>
    </w:pPr>
  </w:style>
  <w:style w:type="numbering" w:customStyle="1" w:styleId="WWNum61">
    <w:name w:val="WWNum61"/>
    <w:basedOn w:val="Aucuneliste"/>
    <w:pPr>
      <w:numPr>
        <w:numId w:val="61"/>
      </w:numPr>
    </w:pPr>
  </w:style>
  <w:style w:type="numbering" w:customStyle="1" w:styleId="WWNum62">
    <w:name w:val="WWNum62"/>
    <w:basedOn w:val="Aucuneliste"/>
    <w:pPr>
      <w:numPr>
        <w:numId w:val="62"/>
      </w:numPr>
    </w:pPr>
  </w:style>
  <w:style w:type="numbering" w:customStyle="1" w:styleId="WWNum63">
    <w:name w:val="WWNum63"/>
    <w:basedOn w:val="Aucuneliste"/>
    <w:pPr>
      <w:numPr>
        <w:numId w:val="63"/>
      </w:numPr>
    </w:pPr>
  </w:style>
  <w:style w:type="numbering" w:customStyle="1" w:styleId="WWNum64">
    <w:name w:val="WWNum64"/>
    <w:basedOn w:val="Aucuneliste"/>
    <w:pPr>
      <w:numPr>
        <w:numId w:val="64"/>
      </w:numPr>
    </w:pPr>
  </w:style>
  <w:style w:type="numbering" w:customStyle="1" w:styleId="WWNum65">
    <w:name w:val="WWNum65"/>
    <w:basedOn w:val="Aucuneliste"/>
    <w:pPr>
      <w:numPr>
        <w:numId w:val="65"/>
      </w:numPr>
    </w:pPr>
  </w:style>
  <w:style w:type="numbering" w:customStyle="1" w:styleId="WWNum66">
    <w:name w:val="WWNum66"/>
    <w:basedOn w:val="Aucuneliste"/>
    <w:pPr>
      <w:numPr>
        <w:numId w:val="66"/>
      </w:numPr>
    </w:pPr>
  </w:style>
  <w:style w:type="numbering" w:customStyle="1" w:styleId="WWNum67">
    <w:name w:val="WWNum67"/>
    <w:basedOn w:val="Aucuneliste"/>
    <w:pPr>
      <w:numPr>
        <w:numId w:val="67"/>
      </w:numPr>
    </w:pPr>
  </w:style>
  <w:style w:type="numbering" w:customStyle="1" w:styleId="WWNum68">
    <w:name w:val="WWNum68"/>
    <w:basedOn w:val="Aucuneliste"/>
    <w:pPr>
      <w:numPr>
        <w:numId w:val="6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915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_Toc4" TargetMode="External"/><Relationship Id="rId18" Type="http://schemas.openxmlformats.org/officeDocument/2006/relationships/hyperlink" Target="#_Toc9" TargetMode="External"/><Relationship Id="rId26" Type="http://schemas.openxmlformats.org/officeDocument/2006/relationships/hyperlink" Target="#_Toc17" TargetMode="External"/><Relationship Id="rId39" Type="http://schemas.openxmlformats.org/officeDocument/2006/relationships/hyperlink" Target="https://pcrs.beta.gouv.fr/suivi-pcrs" TargetMode="External"/><Relationship Id="rId3" Type="http://schemas.openxmlformats.org/officeDocument/2006/relationships/styles" Target="styles.xml"/><Relationship Id="rId21" Type="http://schemas.openxmlformats.org/officeDocument/2006/relationships/hyperlink" Target="#_Toc12" TargetMode="External"/><Relationship Id="rId34" Type="http://schemas.openxmlformats.org/officeDocument/2006/relationships/hyperlink" Target="#_Toc16" TargetMode="External"/><Relationship Id="rId42" Type="http://schemas.openxmlformats.org/officeDocument/2006/relationships/hyperlink" Target="https://docs.pcrs.beta.gouv.fr/suivi-des-projets/publication-des-livrables"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_Toc3" TargetMode="External"/><Relationship Id="rId17" Type="http://schemas.openxmlformats.org/officeDocument/2006/relationships/hyperlink" Target="#_Toc8" TargetMode="External"/><Relationship Id="rId25" Type="http://schemas.openxmlformats.org/officeDocument/2006/relationships/hyperlink" Target="#_Toc16" TargetMode="External"/><Relationship Id="rId33" Type="http://schemas.openxmlformats.org/officeDocument/2006/relationships/hyperlink" Target="#_Toc24" TargetMode="External"/><Relationship Id="rId38" Type="http://schemas.openxmlformats.org/officeDocument/2006/relationships/hyperlink" Target="https://pcrs.beta.gouv.fr/"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_Toc7" TargetMode="External"/><Relationship Id="rId20" Type="http://schemas.openxmlformats.org/officeDocument/2006/relationships/hyperlink" Target="#_Toc11" TargetMode="External"/><Relationship Id="rId29" Type="http://schemas.openxmlformats.org/officeDocument/2006/relationships/hyperlink" Target="#_Toc20" TargetMode="External"/><Relationship Id="rId41" Type="http://schemas.openxmlformats.org/officeDocument/2006/relationships/hyperlink" Target="https://docs.pcrs.beta.gouv.fr/suivi-des-projets/edition-des-donnees#creer-un-proj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_Toc2" TargetMode="External"/><Relationship Id="rId24" Type="http://schemas.openxmlformats.org/officeDocument/2006/relationships/hyperlink" Target="#_Toc15" TargetMode="External"/><Relationship Id="rId32" Type="http://schemas.openxmlformats.org/officeDocument/2006/relationships/hyperlink" Target="#_Toc23" TargetMode="External"/><Relationship Id="rId37" Type="http://schemas.openxmlformats.org/officeDocument/2006/relationships/hyperlink" Target="https://cnig.gouv.fr/IMG/documents_wordpress/2019/11/CNIG_STAR-DT_v1.0.pdf" TargetMode="External"/><Relationship Id="rId40" Type="http://schemas.openxmlformats.org/officeDocument/2006/relationships/hyperlink" Target="http://contact@pcrs.beta.gouv.fr"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_Toc6" TargetMode="External"/><Relationship Id="rId23" Type="http://schemas.openxmlformats.org/officeDocument/2006/relationships/hyperlink" Target="#_Toc14" TargetMode="External"/><Relationship Id="rId28" Type="http://schemas.openxmlformats.org/officeDocument/2006/relationships/hyperlink" Target="#_Toc19" TargetMode="External"/><Relationship Id="rId36" Type="http://schemas.openxmlformats.org/officeDocument/2006/relationships/hyperlink" Target="https://cnig.gouv.fr/IMG/documents_wordpress/2017/12/CNIG_RTGE_PCRS_v2.0.pdf." TargetMode="External"/><Relationship Id="rId10" Type="http://schemas.openxmlformats.org/officeDocument/2006/relationships/hyperlink" Target="#_Toc1" TargetMode="External"/><Relationship Id="rId19" Type="http://schemas.openxmlformats.org/officeDocument/2006/relationships/hyperlink" Target="#_Toc10" TargetMode="External"/><Relationship Id="rId31" Type="http://schemas.openxmlformats.org/officeDocument/2006/relationships/hyperlink" Target="#_Toc22" TargetMode="External"/><Relationship Id="rId44" Type="http://schemas.openxmlformats.org/officeDocument/2006/relationships/hyperlink" Target="https://cnig.gouv.fr/IMG/documents_wordpress/2022/05/ANNEXE-4-PCRS-CQ_RASTER.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_Toc5" TargetMode="External"/><Relationship Id="rId22" Type="http://schemas.openxmlformats.org/officeDocument/2006/relationships/hyperlink" Target="#_Toc13" TargetMode="External"/><Relationship Id="rId27" Type="http://schemas.openxmlformats.org/officeDocument/2006/relationships/hyperlink" Target="#_Toc18" TargetMode="External"/><Relationship Id="rId30" Type="http://schemas.openxmlformats.org/officeDocument/2006/relationships/hyperlink" Target="#_Toc21" TargetMode="External"/><Relationship Id="rId35" Type="http://schemas.openxmlformats.org/officeDocument/2006/relationships/hyperlink" Target="https://www.legifrance.gouv.fr/loda/id/JORFTEXT000025391351" TargetMode="External"/><Relationship Id="rId43" Type="http://schemas.openxmlformats.org/officeDocument/2006/relationships/hyperlink" Target="https://cnig.gouv.fr/IMG/documents_wordpress/2022/01/ANNEXE-1-PCRS-Specifications-dorthophotoplan-1.0.1.pdf"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demo-validator.ign.fr/" TargetMode="External"/><Relationship Id="rId3" Type="http://schemas.openxmlformats.org/officeDocument/2006/relationships/hyperlink" Target="https://www.observatoire-national-dt-dict.fr/logigramme-pcrs/" TargetMode="External"/><Relationship Id="rId7" Type="http://schemas.openxmlformats.org/officeDocument/2006/relationships/hyperlink" Target="https://cnig.gouv.fr/IMG/documents_wordpress/2022/05/ANNEXE_5_PCRS_Fiche_MaJ_Raster.pdf" TargetMode="External"/><Relationship Id="rId2" Type="http://schemas.openxmlformats.org/officeDocument/2006/relationships/hyperlink" Target="https://cnig.gouv.fr/plan-de-corps-de-rue-simplifie-reseaux-r21411.html" TargetMode="External"/><Relationship Id="rId1" Type="http://schemas.openxmlformats.org/officeDocument/2006/relationships/hyperlink" Target="https://cnig.gouv.fr/gt-accessibilite-du-pcrs-a26327.html" TargetMode="External"/><Relationship Id="rId6" Type="http://schemas.openxmlformats.org/officeDocument/2006/relationships/hyperlink" Target="https://www.legifrance.gouv.fr/codes/article_lc/LEGIARTI000033205512" TargetMode="External"/><Relationship Id="rId5" Type="http://schemas.openxmlformats.org/officeDocument/2006/relationships/hyperlink" Target="https://pcrs.beta.gouv.fr/suivi-pcrs" TargetMode="External"/><Relationship Id="rId4" Type="http://schemas.openxmlformats.org/officeDocument/2006/relationships/hyperlink" Target="https://docs.pcrs.beta.gouv.fr/contexte/reglementation/questionnements-reglementaires" TargetMode="External"/><Relationship Id="rId9" Type="http://schemas.openxmlformats.org/officeDocument/2006/relationships/hyperlink" Target="https://pcrs.beta.gouv.fr/suivi-pcr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60248-3E26-409A-96D0-61913B3DE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3668</Words>
  <Characters>20180</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ENEDIS</Company>
  <LinksUpToDate>false</LinksUpToDate>
  <CharactersWithSpaces>23801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MALARD Guillaume</dc:creator>
  <cp:keywords/>
  <dc:description/>
  <cp:lastModifiedBy>MALARD Guillaume</cp:lastModifiedBy>
  <cp:revision>4</cp:revision>
  <dcterms:created xsi:type="dcterms:W3CDTF">2025-06-17T15:52:00Z</dcterms:created>
  <dcterms:modified xsi:type="dcterms:W3CDTF">2025-06-17T15:59:00Z</dcterms:modified>
</cp:coreProperties>
</file>